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B045" w14:textId="77777777" w:rsidR="005E4830" w:rsidRPr="00A23834" w:rsidRDefault="005E4830" w:rsidP="005E4830">
      <w:pPr>
        <w:spacing w:after="714" w:line="259" w:lineRule="auto"/>
      </w:pPr>
    </w:p>
    <w:p w14:paraId="54B40063" w14:textId="77777777" w:rsidR="005E4830" w:rsidRPr="00A23834" w:rsidRDefault="005E4830" w:rsidP="005E4830">
      <w:pPr>
        <w:spacing w:after="110" w:line="259" w:lineRule="auto"/>
        <w:ind w:right="5"/>
        <w:jc w:val="center"/>
      </w:pPr>
      <w:r w:rsidRPr="00A23834">
        <w:rPr>
          <w:b/>
        </w:rPr>
        <w:t xml:space="preserve"> </w:t>
      </w:r>
    </w:p>
    <w:p w14:paraId="187FAE15" w14:textId="77777777" w:rsidR="005E4830" w:rsidRPr="00A23834" w:rsidRDefault="005E4830" w:rsidP="005E4830">
      <w:pPr>
        <w:spacing w:after="108" w:line="259" w:lineRule="auto"/>
        <w:ind w:right="5"/>
        <w:jc w:val="center"/>
      </w:pPr>
      <w:r w:rsidRPr="00A23834">
        <w:rPr>
          <w:b/>
        </w:rPr>
        <w:t xml:space="preserve"> </w:t>
      </w:r>
    </w:p>
    <w:p w14:paraId="7546267B" w14:textId="77777777" w:rsidR="005E4830" w:rsidRPr="00A23834" w:rsidRDefault="005E4830" w:rsidP="005E4830">
      <w:pPr>
        <w:spacing w:after="360" w:line="259" w:lineRule="auto"/>
        <w:ind w:right="5"/>
        <w:jc w:val="center"/>
        <w:rPr>
          <w:sz w:val="48"/>
          <w:szCs w:val="48"/>
        </w:rPr>
      </w:pPr>
      <w:r w:rsidRPr="00A23834">
        <w:rPr>
          <w:b/>
          <w:sz w:val="48"/>
          <w:szCs w:val="48"/>
        </w:rPr>
        <w:t xml:space="preserve"> </w:t>
      </w:r>
    </w:p>
    <w:p w14:paraId="1F3F2822" w14:textId="77777777" w:rsidR="005E4830" w:rsidRPr="00A23834" w:rsidRDefault="005E4830" w:rsidP="005E4830">
      <w:pPr>
        <w:tabs>
          <w:tab w:val="left" w:pos="8364"/>
        </w:tabs>
        <w:spacing w:after="370" w:line="259" w:lineRule="auto"/>
        <w:ind w:right="11"/>
        <w:jc w:val="center"/>
        <w:rPr>
          <w:sz w:val="48"/>
          <w:szCs w:val="48"/>
        </w:rPr>
      </w:pPr>
      <w:r w:rsidRPr="00A23834">
        <w:rPr>
          <w:b/>
          <w:sz w:val="48"/>
          <w:szCs w:val="48"/>
        </w:rPr>
        <w:t>United Taiwan Bank S.A.</w:t>
      </w:r>
    </w:p>
    <w:p w14:paraId="54F3661C" w14:textId="77777777" w:rsidR="005E4830" w:rsidRPr="00A23834" w:rsidRDefault="005E4830" w:rsidP="005E4830">
      <w:pPr>
        <w:spacing w:after="108" w:line="259" w:lineRule="auto"/>
        <w:ind w:right="5"/>
        <w:jc w:val="center"/>
      </w:pPr>
    </w:p>
    <w:p w14:paraId="18A11E22" w14:textId="77777777" w:rsidR="005E4830" w:rsidRPr="00A23834" w:rsidRDefault="005E4830" w:rsidP="005E4830">
      <w:pPr>
        <w:spacing w:after="111" w:line="259" w:lineRule="auto"/>
        <w:ind w:right="5"/>
        <w:jc w:val="center"/>
        <w:rPr>
          <w:b/>
        </w:rPr>
      </w:pPr>
      <w:r w:rsidRPr="00A23834">
        <w:rPr>
          <w:b/>
        </w:rPr>
        <w:t xml:space="preserve"> </w:t>
      </w:r>
    </w:p>
    <w:p w14:paraId="778350CF" w14:textId="2F3227BA" w:rsidR="005E4830" w:rsidRPr="00A23834" w:rsidRDefault="005E4830" w:rsidP="005E4830">
      <w:pPr>
        <w:spacing w:after="110" w:line="259" w:lineRule="auto"/>
        <w:ind w:right="5"/>
        <w:jc w:val="center"/>
      </w:pPr>
      <w:r w:rsidRPr="00A23834">
        <w:rPr>
          <w:b/>
        </w:rPr>
        <w:t xml:space="preserve"> </w:t>
      </w:r>
    </w:p>
    <w:p w14:paraId="03C00572" w14:textId="77777777" w:rsidR="005E4830" w:rsidRPr="00A23834" w:rsidRDefault="005E4830" w:rsidP="005E4830">
      <w:pPr>
        <w:spacing w:after="110" w:line="259" w:lineRule="auto"/>
        <w:ind w:right="5"/>
        <w:jc w:val="center"/>
      </w:pPr>
      <w:r w:rsidRPr="00A23834">
        <w:rPr>
          <w:b/>
        </w:rPr>
        <w:t xml:space="preserve"> </w:t>
      </w:r>
    </w:p>
    <w:p w14:paraId="789D9DC8" w14:textId="77777777" w:rsidR="005E4830" w:rsidRPr="00A23834" w:rsidRDefault="005E4830" w:rsidP="005E4830">
      <w:pPr>
        <w:spacing w:line="259" w:lineRule="auto"/>
        <w:ind w:right="5"/>
        <w:jc w:val="center"/>
      </w:pPr>
      <w:r w:rsidRPr="00A23834">
        <w:rPr>
          <w:b/>
        </w:rPr>
        <w:t xml:space="preserve"> </w:t>
      </w:r>
    </w:p>
    <w:p w14:paraId="11710E8B" w14:textId="15093886" w:rsidR="005E4830" w:rsidRPr="00A23834" w:rsidRDefault="005E4830" w:rsidP="00E362F7">
      <w:pPr>
        <w:spacing w:line="520" w:lineRule="exact"/>
        <w:jc w:val="center"/>
        <w:rPr>
          <w:rFonts w:eastAsia="標楷體" w:cs="Calibri"/>
          <w:b/>
          <w:bCs/>
          <w:sz w:val="32"/>
          <w:szCs w:val="32"/>
        </w:rPr>
      </w:pPr>
      <w:r w:rsidRPr="00A23834">
        <w:rPr>
          <w:rFonts w:eastAsia="標楷體" w:cs="Calibri"/>
          <w:b/>
          <w:bCs/>
          <w:sz w:val="32"/>
          <w:szCs w:val="32"/>
        </w:rPr>
        <w:t>Guidelines Governing Anti-Money Laundering and Countering the Financing of Terrorism</w:t>
      </w:r>
    </w:p>
    <w:p w14:paraId="0F99375B" w14:textId="7B616DB8" w:rsidR="005E4830" w:rsidRPr="00A23834" w:rsidRDefault="005E4830" w:rsidP="005E4830">
      <w:pPr>
        <w:spacing w:after="110" w:line="259" w:lineRule="auto"/>
        <w:ind w:right="5"/>
        <w:jc w:val="center"/>
      </w:pPr>
    </w:p>
    <w:p w14:paraId="03ED6758" w14:textId="77777777" w:rsidR="005E4830" w:rsidRPr="00A23834" w:rsidRDefault="005E4830" w:rsidP="005E4830">
      <w:pPr>
        <w:spacing w:after="110" w:line="259" w:lineRule="auto"/>
        <w:ind w:right="5"/>
        <w:jc w:val="center"/>
      </w:pPr>
      <w:r w:rsidRPr="00A23834">
        <w:rPr>
          <w:b/>
        </w:rPr>
        <w:t xml:space="preserve"> </w:t>
      </w:r>
    </w:p>
    <w:p w14:paraId="45A240CF" w14:textId="77777777" w:rsidR="005E4830" w:rsidRPr="00A23834" w:rsidRDefault="005E4830" w:rsidP="005E4830">
      <w:pPr>
        <w:spacing w:after="108" w:line="259" w:lineRule="auto"/>
        <w:ind w:right="5"/>
        <w:jc w:val="center"/>
      </w:pPr>
      <w:r w:rsidRPr="00A23834">
        <w:rPr>
          <w:b/>
        </w:rPr>
        <w:t xml:space="preserve"> </w:t>
      </w:r>
    </w:p>
    <w:p w14:paraId="7C9D149F" w14:textId="77777777" w:rsidR="005E4830" w:rsidRPr="00A23834" w:rsidRDefault="005E4830" w:rsidP="005E4830">
      <w:pPr>
        <w:spacing w:after="110" w:line="259" w:lineRule="auto"/>
        <w:ind w:right="5"/>
        <w:jc w:val="center"/>
        <w:rPr>
          <w:b/>
        </w:rPr>
      </w:pPr>
      <w:r w:rsidRPr="00A23834">
        <w:rPr>
          <w:b/>
        </w:rPr>
        <w:t xml:space="preserve"> </w:t>
      </w:r>
    </w:p>
    <w:p w14:paraId="312D0648" w14:textId="455D5550" w:rsidR="005E4830" w:rsidRPr="00A23834" w:rsidRDefault="005E4830" w:rsidP="005E4830">
      <w:pPr>
        <w:spacing w:after="110" w:line="259" w:lineRule="auto"/>
        <w:ind w:right="5"/>
        <w:jc w:val="center"/>
        <w:rPr>
          <w:b/>
        </w:rPr>
      </w:pPr>
    </w:p>
    <w:p w14:paraId="289EC132" w14:textId="6D665A8D" w:rsidR="00C77CAC" w:rsidRPr="00A23834" w:rsidRDefault="00C77CAC" w:rsidP="005E4830">
      <w:pPr>
        <w:spacing w:after="110" w:line="259" w:lineRule="auto"/>
        <w:ind w:right="5"/>
        <w:jc w:val="center"/>
        <w:rPr>
          <w:b/>
        </w:rPr>
      </w:pPr>
    </w:p>
    <w:p w14:paraId="0AACC6B1" w14:textId="77777777" w:rsidR="00C77CAC" w:rsidRPr="00A23834" w:rsidRDefault="00C77CAC" w:rsidP="005E4830">
      <w:pPr>
        <w:spacing w:after="110" w:line="259" w:lineRule="auto"/>
        <w:ind w:right="5"/>
        <w:jc w:val="center"/>
        <w:rPr>
          <w:b/>
        </w:rPr>
      </w:pPr>
    </w:p>
    <w:p w14:paraId="484FFA7B" w14:textId="7EE705EB" w:rsidR="005E4830" w:rsidRPr="00927E9B" w:rsidRDefault="005E4830" w:rsidP="005E4830">
      <w:pPr>
        <w:spacing w:after="110" w:line="259" w:lineRule="auto"/>
        <w:ind w:right="5"/>
        <w:jc w:val="center"/>
        <w:rPr>
          <w:b/>
          <w:color w:val="FF0000"/>
          <w:sz w:val="32"/>
          <w:szCs w:val="32"/>
          <w:u w:val="single"/>
        </w:rPr>
      </w:pPr>
    </w:p>
    <w:p w14:paraId="3F492576" w14:textId="77777777" w:rsidR="005E4830" w:rsidRPr="00A23834" w:rsidRDefault="005E4830" w:rsidP="005E4830">
      <w:pPr>
        <w:spacing w:after="125" w:line="259" w:lineRule="auto"/>
        <w:ind w:right="5"/>
        <w:jc w:val="center"/>
      </w:pPr>
      <w:r w:rsidRPr="00A23834">
        <w:rPr>
          <w:b/>
        </w:rPr>
        <w:t xml:space="preserve"> </w:t>
      </w:r>
    </w:p>
    <w:p w14:paraId="4AF1B21F" w14:textId="6BD0537E" w:rsidR="005E4830" w:rsidRDefault="005E4830" w:rsidP="005E4830">
      <w:pPr>
        <w:spacing w:after="110" w:line="259" w:lineRule="auto"/>
        <w:ind w:right="5"/>
        <w:jc w:val="center"/>
        <w:rPr>
          <w:b/>
        </w:rPr>
      </w:pPr>
    </w:p>
    <w:p w14:paraId="321FE7B5" w14:textId="4723F9EF" w:rsidR="002159DB" w:rsidRDefault="002159DB" w:rsidP="005E4830">
      <w:pPr>
        <w:spacing w:after="110" w:line="259" w:lineRule="auto"/>
        <w:ind w:right="5"/>
        <w:jc w:val="center"/>
        <w:rPr>
          <w:b/>
        </w:rPr>
      </w:pPr>
    </w:p>
    <w:p w14:paraId="354B2DE6" w14:textId="096C859A" w:rsidR="005E4830" w:rsidRPr="00A23834" w:rsidRDefault="005E4830" w:rsidP="00713EB7">
      <w:pPr>
        <w:spacing w:after="110" w:line="259" w:lineRule="auto"/>
        <w:ind w:right="5"/>
      </w:pPr>
    </w:p>
    <w:p w14:paraId="69307D4A" w14:textId="03430343" w:rsidR="005E4830" w:rsidRPr="00A23834" w:rsidRDefault="005E4830" w:rsidP="008B283B">
      <w:pPr>
        <w:spacing w:after="108" w:line="259" w:lineRule="auto"/>
        <w:rPr>
          <w:b/>
        </w:rPr>
      </w:pPr>
      <w:r w:rsidRPr="00A23834">
        <w:rPr>
          <w:b/>
        </w:rPr>
        <w:lastRenderedPageBreak/>
        <w:t xml:space="preserve">APPROVAL LOG </w:t>
      </w:r>
    </w:p>
    <w:tbl>
      <w:tblPr>
        <w:tblStyle w:val="TableGrid0"/>
        <w:tblW w:w="9900" w:type="dxa"/>
        <w:tblInd w:w="-74" w:type="dxa"/>
        <w:tblCellMar>
          <w:top w:w="79" w:type="dxa"/>
          <w:left w:w="106" w:type="dxa"/>
          <w:right w:w="60" w:type="dxa"/>
        </w:tblCellMar>
        <w:tblLook w:val="04A0" w:firstRow="1" w:lastRow="0" w:firstColumn="1" w:lastColumn="0" w:noHBand="0" w:noVBand="1"/>
      </w:tblPr>
      <w:tblGrid>
        <w:gridCol w:w="896"/>
        <w:gridCol w:w="896"/>
        <w:gridCol w:w="8108"/>
      </w:tblGrid>
      <w:tr w:rsidR="00A23834" w:rsidRPr="00A23834" w14:paraId="65B4CD9E" w14:textId="77777777" w:rsidTr="00645306">
        <w:trPr>
          <w:trHeight w:val="481"/>
        </w:trPr>
        <w:tc>
          <w:tcPr>
            <w:tcW w:w="896" w:type="dxa"/>
            <w:tcBorders>
              <w:top w:val="single" w:sz="4" w:space="0" w:color="000000"/>
              <w:left w:val="single" w:sz="4" w:space="0" w:color="000000"/>
              <w:bottom w:val="single" w:sz="4" w:space="0" w:color="000000"/>
              <w:right w:val="single" w:sz="4" w:space="0" w:color="000000"/>
            </w:tcBorders>
            <w:vAlign w:val="center"/>
          </w:tcPr>
          <w:p w14:paraId="28B02A8B" w14:textId="77777777" w:rsidR="005E4830" w:rsidRPr="00A23834" w:rsidRDefault="005E4830" w:rsidP="0043588E">
            <w:pPr>
              <w:spacing w:after="110" w:line="240" w:lineRule="exact"/>
              <w:jc w:val="center"/>
              <w:rPr>
                <w:b/>
                <w:sz w:val="12"/>
                <w:szCs w:val="12"/>
              </w:rPr>
            </w:pPr>
            <w:r w:rsidRPr="00A23834">
              <w:rPr>
                <w:rFonts w:hint="eastAsia"/>
                <w:b/>
                <w:sz w:val="12"/>
                <w:szCs w:val="12"/>
              </w:rPr>
              <w:t>Management Committee</w:t>
            </w:r>
          </w:p>
        </w:tc>
        <w:tc>
          <w:tcPr>
            <w:tcW w:w="896" w:type="dxa"/>
            <w:tcBorders>
              <w:top w:val="single" w:sz="4" w:space="0" w:color="000000"/>
              <w:left w:val="single" w:sz="4" w:space="0" w:color="000000"/>
              <w:bottom w:val="single" w:sz="4" w:space="0" w:color="000000"/>
              <w:right w:val="single" w:sz="4" w:space="0" w:color="auto"/>
            </w:tcBorders>
            <w:vAlign w:val="center"/>
          </w:tcPr>
          <w:p w14:paraId="095CD417" w14:textId="77777777" w:rsidR="005E4830" w:rsidRPr="00A23834" w:rsidRDefault="005E4830" w:rsidP="0043588E">
            <w:pPr>
              <w:spacing w:after="110" w:line="240" w:lineRule="exact"/>
              <w:jc w:val="center"/>
              <w:rPr>
                <w:b/>
                <w:sz w:val="16"/>
                <w:szCs w:val="16"/>
              </w:rPr>
            </w:pPr>
            <w:r w:rsidRPr="00A23834">
              <w:rPr>
                <w:rFonts w:hint="eastAsia"/>
                <w:b/>
                <w:sz w:val="16"/>
                <w:szCs w:val="16"/>
              </w:rPr>
              <w:t>Board of Directors</w:t>
            </w:r>
          </w:p>
        </w:tc>
        <w:tc>
          <w:tcPr>
            <w:tcW w:w="8108" w:type="dxa"/>
            <w:tcBorders>
              <w:top w:val="single" w:sz="4" w:space="0" w:color="000000"/>
              <w:left w:val="single" w:sz="4" w:space="0" w:color="000000"/>
              <w:bottom w:val="single" w:sz="4" w:space="0" w:color="000000"/>
              <w:right w:val="single" w:sz="4" w:space="0" w:color="000000"/>
            </w:tcBorders>
            <w:vAlign w:val="center"/>
          </w:tcPr>
          <w:p w14:paraId="494135AB" w14:textId="77777777" w:rsidR="005E4830" w:rsidRPr="00A23834" w:rsidRDefault="005E4830" w:rsidP="005E4830">
            <w:pPr>
              <w:spacing w:after="110" w:line="240" w:lineRule="exact"/>
              <w:jc w:val="center"/>
              <w:rPr>
                <w:b/>
                <w:sz w:val="16"/>
                <w:szCs w:val="16"/>
              </w:rPr>
            </w:pPr>
            <w:r w:rsidRPr="00A23834">
              <w:rPr>
                <w:b/>
                <w:sz w:val="16"/>
                <w:szCs w:val="16"/>
              </w:rPr>
              <w:t>Remarks</w:t>
            </w:r>
          </w:p>
        </w:tc>
      </w:tr>
      <w:tr w:rsidR="00093CBD" w:rsidRPr="00A23834" w14:paraId="2FF0392E" w14:textId="77777777" w:rsidTr="00645306">
        <w:trPr>
          <w:trHeight w:val="481"/>
        </w:trPr>
        <w:tc>
          <w:tcPr>
            <w:tcW w:w="896" w:type="dxa"/>
            <w:tcBorders>
              <w:top w:val="single" w:sz="4" w:space="0" w:color="000000"/>
              <w:left w:val="single" w:sz="4" w:space="0" w:color="000000"/>
              <w:bottom w:val="single" w:sz="4" w:space="0" w:color="000000"/>
              <w:right w:val="single" w:sz="4" w:space="0" w:color="000000"/>
            </w:tcBorders>
            <w:vAlign w:val="center"/>
          </w:tcPr>
          <w:p w14:paraId="158EB4D1" w14:textId="028696A1" w:rsidR="00093CBD" w:rsidRPr="004E6B26" w:rsidRDefault="009F649D" w:rsidP="0043588E">
            <w:pPr>
              <w:spacing w:after="110" w:line="240" w:lineRule="exact"/>
              <w:jc w:val="center"/>
              <w:rPr>
                <w:bCs/>
                <w:color w:val="FF0000"/>
                <w:sz w:val="16"/>
                <w:szCs w:val="16"/>
                <w:u w:val="single"/>
              </w:rPr>
            </w:pPr>
            <w:r>
              <w:rPr>
                <w:rFonts w:hint="eastAsia"/>
                <w:bCs/>
                <w:color w:val="FF0000"/>
                <w:sz w:val="16"/>
                <w:szCs w:val="16"/>
                <w:u w:val="single"/>
              </w:rPr>
              <w:t>21.06.2024</w:t>
            </w:r>
          </w:p>
        </w:tc>
        <w:tc>
          <w:tcPr>
            <w:tcW w:w="896" w:type="dxa"/>
            <w:tcBorders>
              <w:top w:val="single" w:sz="4" w:space="0" w:color="000000"/>
              <w:left w:val="single" w:sz="4" w:space="0" w:color="000000"/>
              <w:bottom w:val="single" w:sz="4" w:space="0" w:color="000000"/>
              <w:right w:val="single" w:sz="4" w:space="0" w:color="auto"/>
            </w:tcBorders>
            <w:vAlign w:val="center"/>
          </w:tcPr>
          <w:p w14:paraId="1EBB644F" w14:textId="150BDB6A" w:rsidR="00093CBD" w:rsidRPr="004E6B26" w:rsidRDefault="009F649D" w:rsidP="0043588E">
            <w:pPr>
              <w:spacing w:after="110" w:line="240" w:lineRule="exact"/>
              <w:jc w:val="center"/>
              <w:rPr>
                <w:bCs/>
                <w:color w:val="FF0000"/>
                <w:sz w:val="16"/>
                <w:szCs w:val="16"/>
                <w:u w:val="single"/>
              </w:rPr>
            </w:pPr>
            <w:r>
              <w:rPr>
                <w:rFonts w:hint="eastAsia"/>
                <w:bCs/>
                <w:color w:val="FF0000"/>
                <w:sz w:val="16"/>
                <w:szCs w:val="16"/>
                <w:u w:val="single"/>
              </w:rPr>
              <w:t>04.11.2024</w:t>
            </w:r>
          </w:p>
        </w:tc>
        <w:tc>
          <w:tcPr>
            <w:tcW w:w="8108" w:type="dxa"/>
            <w:tcBorders>
              <w:top w:val="single" w:sz="4" w:space="0" w:color="000000"/>
              <w:left w:val="single" w:sz="4" w:space="0" w:color="000000"/>
              <w:bottom w:val="single" w:sz="4" w:space="0" w:color="000000"/>
              <w:right w:val="single" w:sz="4" w:space="0" w:color="000000"/>
            </w:tcBorders>
            <w:vAlign w:val="center"/>
          </w:tcPr>
          <w:p w14:paraId="68A9A710" w14:textId="77777777" w:rsidR="00402350" w:rsidRPr="0009643E" w:rsidRDefault="00093CBD" w:rsidP="00402350">
            <w:pPr>
              <w:snapToGrid w:val="0"/>
              <w:spacing w:line="200" w:lineRule="exact"/>
              <w:jc w:val="both"/>
              <w:rPr>
                <w:rFonts w:ascii="Tahoma" w:eastAsia="標楷體" w:hAnsi="Tahoma" w:cs="Tahoma"/>
                <w:sz w:val="16"/>
                <w:szCs w:val="16"/>
              </w:rPr>
            </w:pPr>
            <w:r w:rsidRPr="0009643E">
              <w:rPr>
                <w:rFonts w:ascii="Tahoma" w:eastAsia="標楷體" w:hAnsi="Tahoma" w:cs="Tahoma"/>
                <w:sz w:val="16"/>
                <w:szCs w:val="16"/>
              </w:rPr>
              <w:t xml:space="preserve">According to the latest update of the NBB AML/CFT </w:t>
            </w:r>
            <w:r w:rsidR="0029443D" w:rsidRPr="0009643E">
              <w:rPr>
                <w:rFonts w:ascii="Tahoma" w:eastAsia="標楷體" w:hAnsi="Tahoma" w:cs="Tahoma"/>
                <w:sz w:val="16"/>
                <w:szCs w:val="16"/>
              </w:rPr>
              <w:t>web</w:t>
            </w:r>
            <w:r w:rsidRPr="0009643E">
              <w:rPr>
                <w:rFonts w:ascii="Tahoma" w:eastAsia="標楷體" w:hAnsi="Tahoma" w:cs="Tahoma"/>
                <w:sz w:val="16"/>
                <w:szCs w:val="16"/>
              </w:rPr>
              <w:t>site,</w:t>
            </w:r>
            <w:r w:rsidR="00402350" w:rsidRPr="0009643E">
              <w:rPr>
                <w:rFonts w:ascii="Tahoma" w:eastAsia="標楷體" w:hAnsi="Tahoma" w:cs="Tahoma"/>
                <w:sz w:val="16"/>
                <w:szCs w:val="16"/>
              </w:rPr>
              <w:t xml:space="preserve"> we have included the followings:</w:t>
            </w:r>
          </w:p>
          <w:p w14:paraId="0C7CE9A5" w14:textId="4F7B0B3F" w:rsidR="00645306" w:rsidRPr="0009643E" w:rsidRDefault="00645306" w:rsidP="00645306">
            <w:pPr>
              <w:pStyle w:val="ListParagraph"/>
              <w:numPr>
                <w:ilvl w:val="0"/>
                <w:numId w:val="32"/>
              </w:numPr>
              <w:snapToGrid w:val="0"/>
              <w:spacing w:line="200" w:lineRule="exact"/>
              <w:ind w:leftChars="0" w:left="436"/>
              <w:jc w:val="both"/>
              <w:rPr>
                <w:rFonts w:ascii="Tahoma" w:eastAsia="標楷體" w:hAnsi="Tahoma" w:cs="Tahoma"/>
                <w:sz w:val="16"/>
                <w:szCs w:val="16"/>
              </w:rPr>
            </w:pPr>
            <w:r w:rsidRPr="0009643E">
              <w:rPr>
                <w:rFonts w:ascii="Tahoma" w:eastAsia="標楷體" w:hAnsi="Tahoma" w:cs="Tahoma" w:hint="eastAsia"/>
                <w:sz w:val="16"/>
                <w:szCs w:val="16"/>
              </w:rPr>
              <w:t>the</w:t>
            </w:r>
            <w:r w:rsidRPr="0009643E">
              <w:rPr>
                <w:rFonts w:ascii="Tahoma" w:eastAsia="標楷體" w:hAnsi="Tahoma" w:cs="Tahoma"/>
                <w:sz w:val="16"/>
                <w:szCs w:val="16"/>
              </w:rPr>
              <w:t xml:space="preserve"> submission of responses to the periodic questionnaire</w:t>
            </w:r>
            <w:r w:rsidRPr="0009643E">
              <w:rPr>
                <w:rFonts w:ascii="Tahoma" w:eastAsia="標楷體" w:hAnsi="Tahoma" w:cs="Tahoma" w:hint="eastAsia"/>
                <w:sz w:val="16"/>
                <w:szCs w:val="16"/>
              </w:rPr>
              <w:t xml:space="preserve"> and </w:t>
            </w:r>
            <w:r w:rsidRPr="0009643E">
              <w:rPr>
                <w:rFonts w:ascii="Tahoma" w:eastAsia="標楷體" w:hAnsi="Tahoma" w:cs="Tahoma"/>
                <w:sz w:val="16"/>
                <w:szCs w:val="16"/>
              </w:rPr>
              <w:t>the copy of the AMLCO’s annual activity report</w:t>
            </w:r>
            <w:r w:rsidRPr="0009643E">
              <w:t xml:space="preserve"> </w:t>
            </w:r>
            <w:r w:rsidRPr="0009643E">
              <w:rPr>
                <w:rFonts w:ascii="Tahoma" w:eastAsia="標楷體" w:hAnsi="Tahoma" w:cs="Tahoma"/>
                <w:sz w:val="16"/>
                <w:szCs w:val="16"/>
              </w:rPr>
              <w:t>have been revised to a general text, as the due date may vary each year.</w:t>
            </w:r>
          </w:p>
          <w:p w14:paraId="3B0888BB" w14:textId="64F4A5CF" w:rsidR="00AB0AE4" w:rsidRPr="0009643E" w:rsidRDefault="00A30393" w:rsidP="00772D65">
            <w:pPr>
              <w:pStyle w:val="ListParagraph"/>
              <w:numPr>
                <w:ilvl w:val="0"/>
                <w:numId w:val="32"/>
              </w:numPr>
              <w:snapToGrid w:val="0"/>
              <w:spacing w:line="200" w:lineRule="exact"/>
              <w:ind w:leftChars="0" w:left="436"/>
              <w:jc w:val="both"/>
              <w:rPr>
                <w:rFonts w:ascii="Tahoma" w:eastAsia="標楷體" w:hAnsi="Tahoma" w:cs="Tahoma"/>
                <w:sz w:val="16"/>
                <w:szCs w:val="16"/>
              </w:rPr>
            </w:pPr>
            <w:r w:rsidRPr="0009643E">
              <w:rPr>
                <w:rFonts w:ascii="Tahoma" w:eastAsia="標楷體" w:hAnsi="Tahoma" w:cs="Tahoma" w:hint="eastAsia"/>
                <w:sz w:val="16"/>
                <w:szCs w:val="16"/>
              </w:rPr>
              <w:t xml:space="preserve">the Board shall first </w:t>
            </w:r>
            <w:r w:rsidRPr="0009643E">
              <w:rPr>
                <w:rFonts w:ascii="Tahoma" w:eastAsia="標楷體" w:hAnsi="Tahoma" w:cs="Tahoma"/>
                <w:sz w:val="16"/>
                <w:szCs w:val="16"/>
              </w:rPr>
              <w:t>verify the suitability of the individual</w:t>
            </w:r>
            <w:r w:rsidRPr="0009643E">
              <w:rPr>
                <w:rFonts w:ascii="Tahoma" w:eastAsia="標楷體" w:hAnsi="Tahoma" w:cs="Tahoma" w:hint="eastAsia"/>
                <w:sz w:val="16"/>
                <w:szCs w:val="16"/>
              </w:rPr>
              <w:t>s</w:t>
            </w:r>
            <w:r w:rsidRPr="0009643E">
              <w:rPr>
                <w:rFonts w:ascii="Tahoma" w:eastAsia="標楷體" w:hAnsi="Tahoma" w:cs="Tahoma"/>
                <w:sz w:val="16"/>
                <w:szCs w:val="16"/>
              </w:rPr>
              <w:t xml:space="preserve"> to be appointed as AML Supervisor</w:t>
            </w:r>
            <w:r w:rsidRPr="0009643E">
              <w:rPr>
                <w:rFonts w:ascii="Tahoma" w:eastAsia="標楷體" w:hAnsi="Tahoma" w:cs="Tahoma" w:hint="eastAsia"/>
                <w:sz w:val="16"/>
                <w:szCs w:val="16"/>
              </w:rPr>
              <w:t xml:space="preserve"> or AMLCO</w:t>
            </w:r>
            <w:r w:rsidRPr="0009643E">
              <w:rPr>
                <w:rFonts w:ascii="Tahoma" w:eastAsia="標楷體" w:hAnsi="Tahoma" w:cs="Tahoma"/>
                <w:sz w:val="16"/>
                <w:szCs w:val="16"/>
              </w:rPr>
              <w:t>.</w:t>
            </w:r>
          </w:p>
          <w:p w14:paraId="1603EEE3" w14:textId="50B0ED76" w:rsidR="00A30393" w:rsidRPr="00A30393" w:rsidRDefault="00A30393" w:rsidP="00772D65">
            <w:pPr>
              <w:pStyle w:val="ListParagraph"/>
              <w:numPr>
                <w:ilvl w:val="0"/>
                <w:numId w:val="32"/>
              </w:numPr>
              <w:snapToGrid w:val="0"/>
              <w:spacing w:line="200" w:lineRule="exact"/>
              <w:ind w:leftChars="0" w:left="436"/>
              <w:jc w:val="both"/>
              <w:rPr>
                <w:rFonts w:ascii="Tahoma" w:eastAsia="標楷體" w:hAnsi="Tahoma" w:cs="Tahoma"/>
                <w:color w:val="FF0000"/>
                <w:sz w:val="16"/>
                <w:szCs w:val="16"/>
              </w:rPr>
            </w:pPr>
            <w:r w:rsidRPr="0009643E">
              <w:rPr>
                <w:rFonts w:ascii="Tahoma" w:eastAsia="標楷體" w:hAnsi="Tahoma" w:cs="Tahoma"/>
                <w:sz w:val="16"/>
                <w:szCs w:val="16"/>
              </w:rPr>
              <w:t>the NBB’s expectations regarding the AMLCO’s language skills and the measures expected of financial institutions in the event of a vacancy</w:t>
            </w:r>
            <w:r w:rsidRPr="0009643E">
              <w:rPr>
                <w:rFonts w:ascii="Tahoma" w:eastAsia="標楷體" w:hAnsi="Tahoma" w:cs="Tahoma" w:hint="eastAsia"/>
                <w:sz w:val="16"/>
                <w:szCs w:val="16"/>
              </w:rPr>
              <w:t>.</w:t>
            </w:r>
          </w:p>
        </w:tc>
      </w:tr>
      <w:tr w:rsidR="00645306" w:rsidRPr="00A23834" w14:paraId="185FA89B" w14:textId="77777777" w:rsidTr="00645306">
        <w:trPr>
          <w:trHeight w:val="481"/>
        </w:trPr>
        <w:tc>
          <w:tcPr>
            <w:tcW w:w="896" w:type="dxa"/>
            <w:tcBorders>
              <w:top w:val="single" w:sz="4" w:space="0" w:color="000000"/>
              <w:left w:val="single" w:sz="4" w:space="0" w:color="000000"/>
              <w:bottom w:val="single" w:sz="4" w:space="0" w:color="000000"/>
              <w:right w:val="single" w:sz="4" w:space="0" w:color="000000"/>
            </w:tcBorders>
            <w:vAlign w:val="center"/>
          </w:tcPr>
          <w:p w14:paraId="3B080A84" w14:textId="24102888" w:rsidR="00645306" w:rsidRPr="000A3617" w:rsidRDefault="00645306" w:rsidP="00645306">
            <w:pPr>
              <w:spacing w:after="110" w:line="240" w:lineRule="exact"/>
              <w:jc w:val="center"/>
              <w:rPr>
                <w:bCs/>
                <w:sz w:val="16"/>
                <w:szCs w:val="16"/>
              </w:rPr>
            </w:pPr>
            <w:r w:rsidRPr="000A3617">
              <w:rPr>
                <w:rFonts w:hint="eastAsia"/>
                <w:bCs/>
                <w:sz w:val="16"/>
                <w:szCs w:val="16"/>
              </w:rPr>
              <w:t>02.05.2024</w:t>
            </w:r>
          </w:p>
        </w:tc>
        <w:tc>
          <w:tcPr>
            <w:tcW w:w="896" w:type="dxa"/>
            <w:tcBorders>
              <w:top w:val="single" w:sz="4" w:space="0" w:color="000000"/>
              <w:left w:val="single" w:sz="4" w:space="0" w:color="000000"/>
              <w:bottom w:val="single" w:sz="4" w:space="0" w:color="000000"/>
              <w:right w:val="single" w:sz="4" w:space="0" w:color="auto"/>
            </w:tcBorders>
            <w:vAlign w:val="center"/>
          </w:tcPr>
          <w:p w14:paraId="3E883F72" w14:textId="1AEFAE91" w:rsidR="00645306" w:rsidRPr="000A3617" w:rsidRDefault="00645306" w:rsidP="00645306">
            <w:pPr>
              <w:spacing w:after="110" w:line="240" w:lineRule="exact"/>
              <w:jc w:val="center"/>
              <w:rPr>
                <w:bCs/>
                <w:sz w:val="16"/>
                <w:szCs w:val="16"/>
              </w:rPr>
            </w:pPr>
            <w:r w:rsidRPr="000A3617">
              <w:rPr>
                <w:rFonts w:hint="eastAsia"/>
                <w:bCs/>
                <w:sz w:val="16"/>
                <w:szCs w:val="16"/>
              </w:rPr>
              <w:t>15.05.2024</w:t>
            </w:r>
          </w:p>
        </w:tc>
        <w:tc>
          <w:tcPr>
            <w:tcW w:w="8108" w:type="dxa"/>
            <w:tcBorders>
              <w:top w:val="single" w:sz="4" w:space="0" w:color="000000"/>
              <w:left w:val="single" w:sz="4" w:space="0" w:color="000000"/>
              <w:bottom w:val="single" w:sz="4" w:space="0" w:color="000000"/>
              <w:right w:val="single" w:sz="4" w:space="0" w:color="000000"/>
            </w:tcBorders>
            <w:vAlign w:val="center"/>
          </w:tcPr>
          <w:p w14:paraId="7808BD40" w14:textId="77777777" w:rsidR="00645306" w:rsidRPr="00353C9D" w:rsidRDefault="00645306" w:rsidP="00645306">
            <w:pPr>
              <w:pStyle w:val="ListParagraph"/>
              <w:numPr>
                <w:ilvl w:val="0"/>
                <w:numId w:val="32"/>
              </w:numPr>
              <w:snapToGrid w:val="0"/>
              <w:spacing w:line="200" w:lineRule="exact"/>
              <w:ind w:leftChars="0" w:left="436"/>
              <w:jc w:val="both"/>
              <w:rPr>
                <w:rFonts w:ascii="Tahoma" w:eastAsia="標楷體" w:hAnsi="Tahoma" w:cs="Tahoma"/>
                <w:sz w:val="16"/>
                <w:szCs w:val="16"/>
              </w:rPr>
            </w:pPr>
            <w:r w:rsidRPr="00353C9D">
              <w:rPr>
                <w:rFonts w:ascii="Tahoma" w:eastAsia="標楷體" w:hAnsi="Tahoma" w:cs="Tahoma"/>
                <w:sz w:val="16"/>
                <w:szCs w:val="16"/>
              </w:rPr>
              <w:t xml:space="preserve">According to the latest update of the NBB AML/CFT website, the list of PEP functions defined by the European Commission is included under the definition of PEP. </w:t>
            </w:r>
          </w:p>
          <w:p w14:paraId="02513285" w14:textId="77777777" w:rsidR="00645306" w:rsidRPr="00353C9D" w:rsidRDefault="00645306" w:rsidP="00645306">
            <w:pPr>
              <w:pStyle w:val="ListParagraph"/>
              <w:numPr>
                <w:ilvl w:val="0"/>
                <w:numId w:val="32"/>
              </w:numPr>
              <w:snapToGrid w:val="0"/>
              <w:spacing w:line="200" w:lineRule="exact"/>
              <w:ind w:leftChars="0" w:left="436"/>
              <w:jc w:val="both"/>
              <w:rPr>
                <w:rFonts w:ascii="Tahoma" w:eastAsia="標楷體" w:hAnsi="Tahoma" w:cs="Tahoma"/>
                <w:sz w:val="16"/>
                <w:szCs w:val="16"/>
              </w:rPr>
            </w:pPr>
            <w:r w:rsidRPr="00353C9D">
              <w:rPr>
                <w:rFonts w:ascii="Tahoma" w:eastAsia="標楷體" w:hAnsi="Tahoma" w:cs="Tahoma"/>
                <w:sz w:val="16"/>
                <w:szCs w:val="16"/>
              </w:rPr>
              <w:t>To be more specific on the place of birth, the city and country of birth are included.</w:t>
            </w:r>
          </w:p>
          <w:p w14:paraId="0BF6DBEC" w14:textId="000BCBF2" w:rsidR="00645306" w:rsidRPr="00353C9D" w:rsidRDefault="00645306" w:rsidP="00645306">
            <w:pPr>
              <w:pStyle w:val="ListParagraph"/>
              <w:numPr>
                <w:ilvl w:val="0"/>
                <w:numId w:val="32"/>
              </w:numPr>
              <w:snapToGrid w:val="0"/>
              <w:spacing w:line="200" w:lineRule="exact"/>
              <w:ind w:leftChars="0" w:left="436"/>
              <w:jc w:val="both"/>
              <w:rPr>
                <w:rFonts w:ascii="Tahoma" w:eastAsia="標楷體" w:hAnsi="Tahoma" w:cs="Tahoma"/>
                <w:sz w:val="16"/>
                <w:szCs w:val="16"/>
              </w:rPr>
            </w:pPr>
            <w:r w:rsidRPr="00353C9D">
              <w:rPr>
                <w:rFonts w:ascii="Tahoma" w:eastAsia="標楷體" w:hAnsi="Tahoma" w:cs="Tahoma" w:hint="eastAsia"/>
                <w:sz w:val="16"/>
                <w:szCs w:val="16"/>
              </w:rPr>
              <w:t xml:space="preserve">Amend the method to report </w:t>
            </w:r>
            <w:r w:rsidRPr="00353C9D">
              <w:rPr>
                <w:rFonts w:ascii="Tahoma" w:eastAsia="標楷體" w:hAnsi="Tahoma" w:cs="Tahoma"/>
                <w:sz w:val="16"/>
                <w:szCs w:val="16"/>
              </w:rPr>
              <w:t>suspicious</w:t>
            </w:r>
            <w:r w:rsidRPr="00353C9D">
              <w:rPr>
                <w:rFonts w:ascii="Tahoma" w:eastAsia="標楷體" w:hAnsi="Tahoma" w:cs="Tahoma" w:hint="eastAsia"/>
                <w:sz w:val="16"/>
                <w:szCs w:val="16"/>
              </w:rPr>
              <w:t xml:space="preserve"> transaction to CTIF.</w:t>
            </w:r>
          </w:p>
        </w:tc>
      </w:tr>
      <w:tr w:rsidR="00F94B67" w:rsidRPr="00A23834" w14:paraId="3A0091BA" w14:textId="77777777" w:rsidTr="00645306">
        <w:trPr>
          <w:trHeight w:val="481"/>
        </w:trPr>
        <w:tc>
          <w:tcPr>
            <w:tcW w:w="896" w:type="dxa"/>
            <w:tcBorders>
              <w:top w:val="single" w:sz="4" w:space="0" w:color="000000"/>
              <w:left w:val="single" w:sz="4" w:space="0" w:color="000000"/>
              <w:bottom w:val="single" w:sz="4" w:space="0" w:color="000000"/>
              <w:right w:val="single" w:sz="4" w:space="0" w:color="000000"/>
            </w:tcBorders>
            <w:vAlign w:val="center"/>
          </w:tcPr>
          <w:p w14:paraId="5E885B53" w14:textId="31C9E3B8" w:rsidR="00F94B67" w:rsidRPr="00093CBD" w:rsidRDefault="00D97F90" w:rsidP="0043588E">
            <w:pPr>
              <w:spacing w:after="110" w:line="240" w:lineRule="exact"/>
              <w:jc w:val="center"/>
              <w:rPr>
                <w:rFonts w:cstheme="minorHAnsi"/>
                <w:bCs/>
                <w:sz w:val="16"/>
                <w:szCs w:val="16"/>
              </w:rPr>
            </w:pPr>
            <w:r w:rsidRPr="00093CBD">
              <w:rPr>
                <w:rFonts w:cstheme="minorHAnsi"/>
                <w:bCs/>
                <w:sz w:val="16"/>
                <w:szCs w:val="16"/>
              </w:rPr>
              <w:t>11.10.2023</w:t>
            </w:r>
          </w:p>
        </w:tc>
        <w:tc>
          <w:tcPr>
            <w:tcW w:w="896" w:type="dxa"/>
            <w:tcBorders>
              <w:top w:val="single" w:sz="4" w:space="0" w:color="000000"/>
              <w:left w:val="single" w:sz="4" w:space="0" w:color="000000"/>
              <w:bottom w:val="single" w:sz="4" w:space="0" w:color="000000"/>
              <w:right w:val="single" w:sz="4" w:space="0" w:color="auto"/>
            </w:tcBorders>
            <w:vAlign w:val="center"/>
          </w:tcPr>
          <w:p w14:paraId="30245805" w14:textId="7484DA39" w:rsidR="00F94B67" w:rsidRPr="00093CBD" w:rsidRDefault="00D97F90" w:rsidP="006348C8">
            <w:pPr>
              <w:snapToGrid w:val="0"/>
              <w:spacing w:line="200" w:lineRule="exact"/>
              <w:jc w:val="center"/>
              <w:rPr>
                <w:rFonts w:eastAsia="標楷體" w:cstheme="minorHAnsi"/>
                <w:sz w:val="16"/>
                <w:szCs w:val="16"/>
              </w:rPr>
            </w:pPr>
            <w:r w:rsidRPr="00093CBD">
              <w:rPr>
                <w:rFonts w:eastAsia="標楷體" w:cstheme="minorHAnsi"/>
                <w:sz w:val="16"/>
                <w:szCs w:val="16"/>
              </w:rPr>
              <w:t>20.12.2023</w:t>
            </w:r>
          </w:p>
        </w:tc>
        <w:tc>
          <w:tcPr>
            <w:tcW w:w="8108" w:type="dxa"/>
            <w:tcBorders>
              <w:top w:val="single" w:sz="4" w:space="0" w:color="000000"/>
              <w:left w:val="single" w:sz="4" w:space="0" w:color="000000"/>
              <w:bottom w:val="single" w:sz="4" w:space="0" w:color="000000"/>
              <w:right w:val="single" w:sz="4" w:space="0" w:color="000000"/>
            </w:tcBorders>
            <w:vAlign w:val="center"/>
          </w:tcPr>
          <w:p w14:paraId="7D517BA0" w14:textId="08AA6259" w:rsidR="00F94B67" w:rsidRPr="00093CBD" w:rsidRDefault="00F94B67" w:rsidP="00F94B67">
            <w:pPr>
              <w:pStyle w:val="ListParagraph"/>
              <w:numPr>
                <w:ilvl w:val="0"/>
                <w:numId w:val="32"/>
              </w:numPr>
              <w:snapToGrid w:val="0"/>
              <w:spacing w:line="200" w:lineRule="exact"/>
              <w:ind w:leftChars="0" w:left="436"/>
              <w:jc w:val="both"/>
              <w:rPr>
                <w:rFonts w:ascii="Tahoma" w:eastAsia="標楷體" w:hAnsi="Tahoma" w:cs="Tahoma"/>
                <w:sz w:val="16"/>
                <w:szCs w:val="16"/>
              </w:rPr>
            </w:pPr>
            <w:r w:rsidRPr="00093CBD">
              <w:rPr>
                <w:rFonts w:ascii="Tahoma" w:eastAsia="標楷體" w:hAnsi="Tahoma" w:cs="Tahoma"/>
                <w:sz w:val="16"/>
                <w:szCs w:val="16"/>
              </w:rPr>
              <w:t>Adding an annex under Article 24 with the full description of the statute/ tasks of the AML Supervisor and the AMLCO, as well as to the AML responsibilities of the Board and the MC</w:t>
            </w:r>
            <w:r w:rsidR="006348C8" w:rsidRPr="00093CBD">
              <w:rPr>
                <w:rFonts w:ascii="Tahoma" w:eastAsia="標楷體" w:hAnsi="Tahoma" w:cs="Tahoma"/>
                <w:sz w:val="16"/>
                <w:szCs w:val="16"/>
              </w:rPr>
              <w:t xml:space="preserve"> according to the latest AML/ CFT website of the NBB.</w:t>
            </w:r>
          </w:p>
        </w:tc>
      </w:tr>
      <w:tr w:rsidR="00751760" w:rsidRPr="00A23834" w14:paraId="7B6DC032" w14:textId="77777777" w:rsidTr="00645306">
        <w:trPr>
          <w:trHeight w:val="481"/>
        </w:trPr>
        <w:tc>
          <w:tcPr>
            <w:tcW w:w="896" w:type="dxa"/>
            <w:tcBorders>
              <w:top w:val="single" w:sz="4" w:space="0" w:color="000000"/>
              <w:left w:val="single" w:sz="4" w:space="0" w:color="000000"/>
              <w:bottom w:val="single" w:sz="4" w:space="0" w:color="000000"/>
              <w:right w:val="single" w:sz="4" w:space="0" w:color="000000"/>
            </w:tcBorders>
            <w:vAlign w:val="center"/>
          </w:tcPr>
          <w:p w14:paraId="70FAF92B" w14:textId="12F137E2" w:rsidR="00751760" w:rsidRPr="00751760" w:rsidRDefault="00751760" w:rsidP="0043588E">
            <w:pPr>
              <w:spacing w:after="110" w:line="240" w:lineRule="exact"/>
              <w:jc w:val="center"/>
              <w:rPr>
                <w:bCs/>
                <w:sz w:val="16"/>
                <w:szCs w:val="16"/>
              </w:rPr>
            </w:pPr>
            <w:r w:rsidRPr="00751760">
              <w:rPr>
                <w:bCs/>
                <w:sz w:val="16"/>
                <w:szCs w:val="16"/>
              </w:rPr>
              <w:t>24.10.2022</w:t>
            </w:r>
          </w:p>
        </w:tc>
        <w:tc>
          <w:tcPr>
            <w:tcW w:w="896" w:type="dxa"/>
            <w:tcBorders>
              <w:top w:val="single" w:sz="4" w:space="0" w:color="000000"/>
              <w:left w:val="single" w:sz="4" w:space="0" w:color="000000"/>
              <w:bottom w:val="single" w:sz="4" w:space="0" w:color="000000"/>
              <w:right w:val="single" w:sz="4" w:space="0" w:color="auto"/>
            </w:tcBorders>
            <w:vAlign w:val="center"/>
          </w:tcPr>
          <w:p w14:paraId="6735D9DC" w14:textId="736872C8" w:rsidR="00751760" w:rsidRPr="00751760" w:rsidRDefault="00D36143" w:rsidP="0043588E">
            <w:pPr>
              <w:spacing w:after="110" w:line="240" w:lineRule="exact"/>
              <w:jc w:val="center"/>
              <w:rPr>
                <w:bCs/>
                <w:sz w:val="16"/>
                <w:szCs w:val="16"/>
              </w:rPr>
            </w:pPr>
            <w:r>
              <w:rPr>
                <w:rFonts w:hint="eastAsia"/>
                <w:bCs/>
                <w:sz w:val="16"/>
                <w:szCs w:val="16"/>
              </w:rPr>
              <w:t>19.12.2022</w:t>
            </w:r>
          </w:p>
        </w:tc>
        <w:tc>
          <w:tcPr>
            <w:tcW w:w="8108" w:type="dxa"/>
            <w:tcBorders>
              <w:top w:val="single" w:sz="4" w:space="0" w:color="000000"/>
              <w:left w:val="single" w:sz="4" w:space="0" w:color="000000"/>
              <w:bottom w:val="single" w:sz="4" w:space="0" w:color="000000"/>
              <w:right w:val="single" w:sz="4" w:space="0" w:color="000000"/>
            </w:tcBorders>
            <w:vAlign w:val="center"/>
          </w:tcPr>
          <w:p w14:paraId="17F3B4DA" w14:textId="52CB69F1" w:rsidR="00751760" w:rsidRPr="00751760" w:rsidRDefault="00751760" w:rsidP="00751760">
            <w:pPr>
              <w:snapToGrid w:val="0"/>
              <w:spacing w:line="200" w:lineRule="exact"/>
              <w:jc w:val="both"/>
              <w:rPr>
                <w:rFonts w:ascii="Tahoma" w:eastAsia="標楷體" w:hAnsi="Tahoma" w:cs="Tahoma"/>
                <w:sz w:val="16"/>
                <w:szCs w:val="16"/>
              </w:rPr>
            </w:pPr>
            <w:r w:rsidRPr="00751760">
              <w:rPr>
                <w:rFonts w:ascii="Tahoma" w:eastAsia="標楷體" w:hAnsi="Tahoma" w:cs="Tahoma"/>
                <w:sz w:val="16"/>
                <w:szCs w:val="16"/>
              </w:rPr>
              <w:t>Review: no change</w:t>
            </w:r>
          </w:p>
        </w:tc>
      </w:tr>
      <w:tr w:rsidR="008E176E" w:rsidRPr="00A23834" w14:paraId="630A6E3D" w14:textId="77777777" w:rsidTr="00645306">
        <w:trPr>
          <w:trHeight w:val="481"/>
        </w:trPr>
        <w:tc>
          <w:tcPr>
            <w:tcW w:w="896" w:type="dxa"/>
            <w:tcBorders>
              <w:top w:val="single" w:sz="4" w:space="0" w:color="000000"/>
              <w:left w:val="single" w:sz="4" w:space="0" w:color="000000"/>
              <w:bottom w:val="single" w:sz="4" w:space="0" w:color="000000"/>
              <w:right w:val="single" w:sz="4" w:space="0" w:color="000000"/>
            </w:tcBorders>
            <w:vAlign w:val="center"/>
          </w:tcPr>
          <w:p w14:paraId="0F5941AF" w14:textId="5D18E24B" w:rsidR="008E176E" w:rsidRPr="00751760" w:rsidRDefault="00751760" w:rsidP="00751760">
            <w:pPr>
              <w:spacing w:line="259" w:lineRule="auto"/>
              <w:jc w:val="center"/>
              <w:rPr>
                <w:sz w:val="16"/>
                <w:szCs w:val="16"/>
              </w:rPr>
            </w:pPr>
            <w:r w:rsidRPr="00751760">
              <w:rPr>
                <w:sz w:val="16"/>
                <w:szCs w:val="16"/>
              </w:rPr>
              <w:t>12.11.2021</w:t>
            </w:r>
          </w:p>
        </w:tc>
        <w:tc>
          <w:tcPr>
            <w:tcW w:w="896" w:type="dxa"/>
            <w:tcBorders>
              <w:top w:val="single" w:sz="4" w:space="0" w:color="000000"/>
              <w:left w:val="single" w:sz="4" w:space="0" w:color="000000"/>
              <w:bottom w:val="single" w:sz="4" w:space="0" w:color="000000"/>
              <w:right w:val="single" w:sz="4" w:space="0" w:color="auto"/>
            </w:tcBorders>
            <w:vAlign w:val="center"/>
          </w:tcPr>
          <w:p w14:paraId="6E399D3B" w14:textId="08D93708" w:rsidR="008E176E" w:rsidRPr="00751760" w:rsidRDefault="00751760" w:rsidP="00751760">
            <w:pPr>
              <w:spacing w:line="259" w:lineRule="auto"/>
              <w:jc w:val="center"/>
              <w:rPr>
                <w:sz w:val="16"/>
                <w:szCs w:val="16"/>
              </w:rPr>
            </w:pPr>
            <w:r w:rsidRPr="00751760">
              <w:rPr>
                <w:sz w:val="16"/>
                <w:szCs w:val="16"/>
              </w:rPr>
              <w:t>16.12.2021</w:t>
            </w:r>
          </w:p>
        </w:tc>
        <w:tc>
          <w:tcPr>
            <w:tcW w:w="8108" w:type="dxa"/>
            <w:tcBorders>
              <w:top w:val="single" w:sz="4" w:space="0" w:color="000000"/>
              <w:left w:val="single" w:sz="4" w:space="0" w:color="000000"/>
              <w:bottom w:val="single" w:sz="4" w:space="0" w:color="000000"/>
              <w:right w:val="single" w:sz="4" w:space="0" w:color="000000"/>
            </w:tcBorders>
            <w:vAlign w:val="center"/>
          </w:tcPr>
          <w:p w14:paraId="66CE2525" w14:textId="4271BD40" w:rsidR="006A5E11" w:rsidRPr="00751760" w:rsidRDefault="000D08AC" w:rsidP="00751760">
            <w:pPr>
              <w:pStyle w:val="ListParagraph"/>
              <w:numPr>
                <w:ilvl w:val="0"/>
                <w:numId w:val="32"/>
              </w:numPr>
              <w:snapToGrid w:val="0"/>
              <w:spacing w:line="200" w:lineRule="exact"/>
              <w:ind w:leftChars="0" w:left="436"/>
              <w:jc w:val="both"/>
              <w:rPr>
                <w:rFonts w:ascii="Tahoma" w:eastAsia="標楷體" w:hAnsi="Tahoma" w:cs="Tahoma"/>
                <w:sz w:val="16"/>
                <w:szCs w:val="16"/>
              </w:rPr>
            </w:pPr>
            <w:r w:rsidRPr="00751760">
              <w:rPr>
                <w:rFonts w:ascii="Tahoma" w:eastAsia="標楷體" w:hAnsi="Tahoma" w:cs="Tahoma"/>
                <w:sz w:val="16"/>
                <w:szCs w:val="16"/>
              </w:rPr>
              <w:t>To in line with TCB’s group policy, t</w:t>
            </w:r>
            <w:r w:rsidR="006A5E11" w:rsidRPr="00751760">
              <w:rPr>
                <w:rFonts w:ascii="Tahoma" w:eastAsia="標楷體" w:hAnsi="Tahoma" w:cs="Tahoma"/>
                <w:sz w:val="16"/>
                <w:szCs w:val="16"/>
              </w:rPr>
              <w:t xml:space="preserve">o amend </w:t>
            </w:r>
            <w:r w:rsidR="006A5E11" w:rsidRPr="00751760">
              <w:rPr>
                <w:rFonts w:ascii="Tahoma" w:eastAsia="標楷體" w:hAnsi="Tahoma" w:cs="Tahoma" w:hint="eastAsia"/>
                <w:sz w:val="16"/>
                <w:szCs w:val="16"/>
              </w:rPr>
              <w:t>Ar</w:t>
            </w:r>
            <w:r w:rsidR="006A5E11" w:rsidRPr="00751760">
              <w:rPr>
                <w:rFonts w:ascii="Tahoma" w:eastAsia="標楷體" w:hAnsi="Tahoma" w:cs="Tahoma"/>
                <w:sz w:val="16"/>
                <w:szCs w:val="16"/>
              </w:rPr>
              <w:t>ticle 1 to address the implementation of this guideline shall be on risk-based approach and it shall be documented properly.</w:t>
            </w:r>
          </w:p>
          <w:p w14:paraId="02B20961" w14:textId="7A2B3646" w:rsidR="008E176E" w:rsidRPr="00751760" w:rsidRDefault="008E176E" w:rsidP="00751760">
            <w:pPr>
              <w:pStyle w:val="ListParagraph"/>
              <w:numPr>
                <w:ilvl w:val="0"/>
                <w:numId w:val="32"/>
              </w:numPr>
              <w:snapToGrid w:val="0"/>
              <w:spacing w:line="200" w:lineRule="exact"/>
              <w:ind w:leftChars="0" w:left="436"/>
              <w:jc w:val="both"/>
              <w:rPr>
                <w:rFonts w:ascii="Tahoma" w:eastAsia="標楷體" w:hAnsi="Tahoma" w:cs="Tahoma"/>
                <w:sz w:val="16"/>
                <w:szCs w:val="16"/>
              </w:rPr>
            </w:pPr>
            <w:r w:rsidRPr="00751760">
              <w:rPr>
                <w:rFonts w:ascii="Tahoma" w:eastAsia="標楷體" w:hAnsi="Tahoma" w:cs="Tahoma" w:hint="eastAsia"/>
                <w:sz w:val="16"/>
                <w:szCs w:val="16"/>
              </w:rPr>
              <w:t>To</w:t>
            </w:r>
            <w:r w:rsidRPr="00751760">
              <w:rPr>
                <w:rFonts w:ascii="Tahoma" w:eastAsia="標楷體" w:hAnsi="Tahoma" w:cs="Tahoma"/>
                <w:sz w:val="16"/>
                <w:szCs w:val="16"/>
              </w:rPr>
              <w:t xml:space="preserve"> amend Article 11, to allow the establishment of the relationship with NPO which is set up and controlled by the Republic of China (Taiwan).</w:t>
            </w:r>
          </w:p>
          <w:p w14:paraId="3351C54A" w14:textId="6FD4AD09" w:rsidR="006A5E11" w:rsidRPr="00751760" w:rsidRDefault="006A5E11" w:rsidP="00751760">
            <w:pPr>
              <w:pStyle w:val="ListParagraph"/>
              <w:numPr>
                <w:ilvl w:val="0"/>
                <w:numId w:val="32"/>
              </w:numPr>
              <w:snapToGrid w:val="0"/>
              <w:spacing w:line="200" w:lineRule="exact"/>
              <w:ind w:leftChars="0" w:left="436"/>
              <w:jc w:val="both"/>
              <w:rPr>
                <w:rFonts w:ascii="Tahoma" w:eastAsia="標楷體" w:hAnsi="Tahoma" w:cs="Tahoma"/>
                <w:sz w:val="16"/>
                <w:szCs w:val="16"/>
              </w:rPr>
            </w:pPr>
            <w:r w:rsidRPr="00751760">
              <w:rPr>
                <w:rFonts w:ascii="Tahoma" w:eastAsia="標楷體" w:hAnsi="Tahoma" w:cs="Tahoma"/>
                <w:sz w:val="16"/>
                <w:szCs w:val="16"/>
              </w:rPr>
              <w:t>To amend “corporate entity” as “corporate and other legal entity”</w:t>
            </w:r>
            <w:r w:rsidR="000D08AC" w:rsidRPr="00751760">
              <w:rPr>
                <w:rFonts w:ascii="Tahoma" w:eastAsia="標楷體" w:hAnsi="Tahoma" w:cs="Tahoma" w:hint="eastAsia"/>
                <w:sz w:val="16"/>
                <w:szCs w:val="16"/>
              </w:rPr>
              <w:t xml:space="preserve"> t</w:t>
            </w:r>
            <w:r w:rsidR="000D08AC" w:rsidRPr="00751760">
              <w:rPr>
                <w:rFonts w:ascii="Tahoma" w:eastAsia="標楷體" w:hAnsi="Tahoma" w:cs="Tahoma"/>
                <w:sz w:val="16"/>
                <w:szCs w:val="16"/>
              </w:rPr>
              <w:t>o in line with the amendment of Article 11</w:t>
            </w:r>
            <w:r w:rsidRPr="00751760">
              <w:rPr>
                <w:rFonts w:ascii="Tahoma" w:eastAsia="標楷體" w:hAnsi="Tahoma" w:cs="Tahoma"/>
                <w:sz w:val="16"/>
                <w:szCs w:val="16"/>
              </w:rPr>
              <w:t>.</w:t>
            </w:r>
          </w:p>
        </w:tc>
      </w:tr>
      <w:tr w:rsidR="00A23834" w:rsidRPr="00A23834" w14:paraId="535E10BA" w14:textId="77777777" w:rsidTr="00645306">
        <w:trPr>
          <w:trHeight w:val="830"/>
        </w:trPr>
        <w:tc>
          <w:tcPr>
            <w:tcW w:w="896" w:type="dxa"/>
            <w:tcBorders>
              <w:top w:val="single" w:sz="4" w:space="0" w:color="000000"/>
              <w:left w:val="single" w:sz="4" w:space="0" w:color="000000"/>
              <w:bottom w:val="single" w:sz="4" w:space="0" w:color="000000"/>
              <w:right w:val="single" w:sz="4" w:space="0" w:color="000000"/>
            </w:tcBorders>
            <w:vAlign w:val="center"/>
          </w:tcPr>
          <w:p w14:paraId="341B0B37" w14:textId="0994B90E" w:rsidR="005E4830" w:rsidRPr="00A23834" w:rsidRDefault="008F012B" w:rsidP="005E4830">
            <w:pPr>
              <w:spacing w:line="259" w:lineRule="auto"/>
              <w:jc w:val="center"/>
              <w:rPr>
                <w:sz w:val="16"/>
                <w:szCs w:val="16"/>
              </w:rPr>
            </w:pPr>
            <w:r w:rsidRPr="00A23834">
              <w:rPr>
                <w:rFonts w:hint="eastAsia"/>
                <w:sz w:val="16"/>
                <w:szCs w:val="16"/>
              </w:rPr>
              <w:t>01</w:t>
            </w:r>
            <w:r w:rsidR="00E67A5F" w:rsidRPr="00A23834">
              <w:rPr>
                <w:rFonts w:hint="eastAsia"/>
                <w:sz w:val="16"/>
                <w:szCs w:val="16"/>
              </w:rPr>
              <w:t>.1</w:t>
            </w:r>
            <w:r w:rsidRPr="00A23834">
              <w:rPr>
                <w:rFonts w:hint="eastAsia"/>
                <w:sz w:val="16"/>
                <w:szCs w:val="16"/>
              </w:rPr>
              <w:t>2</w:t>
            </w:r>
          </w:p>
          <w:p w14:paraId="2CC9F4CD" w14:textId="2A85FF45" w:rsidR="00E67A5F" w:rsidRPr="00A23834" w:rsidRDefault="00E67A5F" w:rsidP="005E4830">
            <w:pPr>
              <w:spacing w:line="259" w:lineRule="auto"/>
              <w:jc w:val="center"/>
              <w:rPr>
                <w:sz w:val="16"/>
                <w:szCs w:val="16"/>
              </w:rPr>
            </w:pPr>
            <w:r w:rsidRPr="00A23834">
              <w:rPr>
                <w:rFonts w:hint="eastAsia"/>
                <w:sz w:val="16"/>
                <w:szCs w:val="16"/>
              </w:rPr>
              <w:t>2020</w:t>
            </w:r>
          </w:p>
        </w:tc>
        <w:tc>
          <w:tcPr>
            <w:tcW w:w="896" w:type="dxa"/>
            <w:tcBorders>
              <w:top w:val="single" w:sz="4" w:space="0" w:color="000000"/>
              <w:left w:val="single" w:sz="4" w:space="0" w:color="000000"/>
              <w:bottom w:val="single" w:sz="4" w:space="0" w:color="000000"/>
              <w:right w:val="single" w:sz="4" w:space="0" w:color="auto"/>
            </w:tcBorders>
            <w:vAlign w:val="center"/>
          </w:tcPr>
          <w:p w14:paraId="6596D31F" w14:textId="77777777" w:rsidR="00596302" w:rsidRPr="00A23834" w:rsidRDefault="00596302" w:rsidP="005E4830">
            <w:pPr>
              <w:spacing w:line="259" w:lineRule="auto"/>
              <w:jc w:val="center"/>
              <w:rPr>
                <w:sz w:val="16"/>
                <w:szCs w:val="16"/>
              </w:rPr>
            </w:pPr>
            <w:r w:rsidRPr="00A23834">
              <w:rPr>
                <w:rFonts w:hint="eastAsia"/>
                <w:sz w:val="16"/>
                <w:szCs w:val="16"/>
              </w:rPr>
              <w:t>23.12.</w:t>
            </w:r>
          </w:p>
          <w:p w14:paraId="5AC114E4" w14:textId="394D4D2F" w:rsidR="005E4830" w:rsidRPr="00A23834" w:rsidRDefault="00596302" w:rsidP="005E4830">
            <w:pPr>
              <w:spacing w:line="259" w:lineRule="auto"/>
              <w:jc w:val="center"/>
              <w:rPr>
                <w:sz w:val="16"/>
                <w:szCs w:val="16"/>
              </w:rPr>
            </w:pPr>
            <w:r w:rsidRPr="00A23834">
              <w:rPr>
                <w:rFonts w:hint="eastAsia"/>
                <w:sz w:val="16"/>
                <w:szCs w:val="16"/>
              </w:rPr>
              <w:t>2020</w:t>
            </w:r>
          </w:p>
        </w:tc>
        <w:tc>
          <w:tcPr>
            <w:tcW w:w="8108" w:type="dxa"/>
            <w:tcBorders>
              <w:top w:val="single" w:sz="4" w:space="0" w:color="000000"/>
              <w:left w:val="single" w:sz="4" w:space="0" w:color="000000"/>
              <w:bottom w:val="single" w:sz="4" w:space="0" w:color="000000"/>
              <w:right w:val="single" w:sz="4" w:space="0" w:color="000000"/>
            </w:tcBorders>
            <w:vAlign w:val="center"/>
          </w:tcPr>
          <w:p w14:paraId="102CFD5E" w14:textId="77777777" w:rsidR="00637B47" w:rsidRPr="00A23834" w:rsidRDefault="00637B47" w:rsidP="00925E7B">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The main changes are as the following:</w:t>
            </w:r>
          </w:p>
          <w:p w14:paraId="7E2A362E" w14:textId="665892CB" w:rsidR="00637B47" w:rsidRPr="00A23834" w:rsidRDefault="00637B47" w:rsidP="00925E7B">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To streamline the corporate governance, the relevant procedures are approved by the Management Committee, as authorised by the NBB, to better respond to the evolving situations.</w:t>
            </w:r>
          </w:p>
          <w:p w14:paraId="1983C4C0" w14:textId="3E45580E" w:rsidR="00637B47" w:rsidRPr="00A23834" w:rsidRDefault="00637B47" w:rsidP="00925E7B">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 xml:space="preserve">Update of the Belgian AML Law of </w:t>
            </w:r>
            <w:r w:rsidR="00335F76" w:rsidRPr="00A23834">
              <w:rPr>
                <w:rFonts w:ascii="Tahoma" w:eastAsia="標楷體" w:hAnsi="Tahoma" w:cs="Tahoma" w:hint="eastAsia"/>
                <w:sz w:val="16"/>
                <w:szCs w:val="16"/>
              </w:rPr>
              <w:t>18.09.20</w:t>
            </w:r>
            <w:r w:rsidRPr="00A23834">
              <w:rPr>
                <w:rFonts w:ascii="Tahoma" w:eastAsia="標楷體" w:hAnsi="Tahoma" w:cs="Tahoma"/>
                <w:sz w:val="16"/>
                <w:szCs w:val="16"/>
              </w:rPr>
              <w:t xml:space="preserve">17, amended by the AML Law of </w:t>
            </w:r>
            <w:r w:rsidR="00335F76" w:rsidRPr="00A23834">
              <w:rPr>
                <w:rFonts w:ascii="Tahoma" w:eastAsia="標楷體" w:hAnsi="Tahoma" w:cs="Tahoma" w:hint="eastAsia"/>
                <w:sz w:val="16"/>
                <w:szCs w:val="16"/>
              </w:rPr>
              <w:t>20.07.</w:t>
            </w:r>
            <w:r w:rsidRPr="00A23834">
              <w:rPr>
                <w:rFonts w:ascii="Tahoma" w:eastAsia="標楷體" w:hAnsi="Tahoma" w:cs="Tahoma"/>
                <w:sz w:val="16"/>
                <w:szCs w:val="16"/>
              </w:rPr>
              <w:t>2020.</w:t>
            </w:r>
          </w:p>
          <w:p w14:paraId="7295052D" w14:textId="77777777" w:rsidR="00637B47" w:rsidRPr="00A23834" w:rsidRDefault="00637B47" w:rsidP="00925E7B">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Update NBB’s circular regarding transposing of the AML V EU Directive.</w:t>
            </w:r>
          </w:p>
          <w:p w14:paraId="385D168C" w14:textId="29213D9A" w:rsidR="00637B47" w:rsidRPr="00A23834" w:rsidRDefault="00637B47" w:rsidP="00925E7B">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Insert "7."</w:t>
            </w:r>
            <w:r w:rsidR="00335F76" w:rsidRPr="00A23834">
              <w:rPr>
                <w:rFonts w:ascii="Tahoma" w:eastAsia="標楷體" w:hAnsi="Tahoma" w:cs="Tahoma" w:hint="eastAsia"/>
                <w:sz w:val="16"/>
                <w:szCs w:val="16"/>
              </w:rPr>
              <w:t xml:space="preserve"> </w:t>
            </w:r>
            <w:r w:rsidRPr="00A23834">
              <w:rPr>
                <w:rFonts w:ascii="Tahoma" w:eastAsia="標楷體" w:hAnsi="Tahoma" w:cs="Tahoma"/>
                <w:sz w:val="16"/>
                <w:szCs w:val="16"/>
              </w:rPr>
              <w:t xml:space="preserve">in Article 17. Article 29 of </w:t>
            </w:r>
            <w:r w:rsidR="00925E7B" w:rsidRPr="00A23834">
              <w:rPr>
                <w:rFonts w:ascii="Tahoma" w:eastAsia="標楷體" w:hAnsi="Tahoma" w:cs="Tahoma" w:hint="eastAsia"/>
                <w:sz w:val="16"/>
                <w:szCs w:val="16"/>
              </w:rPr>
              <w:t>t</w:t>
            </w:r>
            <w:r w:rsidRPr="00A23834">
              <w:rPr>
                <w:rFonts w:ascii="Tahoma" w:eastAsia="標楷體" w:hAnsi="Tahoma" w:cs="Tahoma"/>
                <w:sz w:val="16"/>
                <w:szCs w:val="16"/>
              </w:rPr>
              <w:t>he AML L</w:t>
            </w:r>
            <w:r w:rsidR="006606A4" w:rsidRPr="00A23834">
              <w:rPr>
                <w:rFonts w:ascii="Tahoma" w:eastAsia="標楷體" w:hAnsi="Tahoma" w:cs="Tahoma" w:hint="eastAsia"/>
                <w:sz w:val="16"/>
                <w:szCs w:val="16"/>
              </w:rPr>
              <w:t>aw</w:t>
            </w:r>
            <w:r w:rsidRPr="00A23834">
              <w:rPr>
                <w:rFonts w:ascii="Tahoma" w:eastAsia="標楷體" w:hAnsi="Tahoma" w:cs="Tahoma"/>
                <w:sz w:val="16"/>
                <w:szCs w:val="16"/>
              </w:rPr>
              <w:t xml:space="preserve"> of </w:t>
            </w:r>
            <w:r w:rsidR="00925E7B" w:rsidRPr="00A23834">
              <w:rPr>
                <w:rFonts w:ascii="Tahoma" w:eastAsia="標楷體" w:hAnsi="Tahoma" w:cs="Tahoma"/>
                <w:sz w:val="16"/>
                <w:szCs w:val="16"/>
              </w:rPr>
              <w:t xml:space="preserve">18.09.2017, as amended by the AML Law of 20.07.2020 </w:t>
            </w:r>
            <w:r w:rsidRPr="00A23834">
              <w:rPr>
                <w:rFonts w:ascii="Tahoma" w:eastAsia="標楷體" w:hAnsi="Tahoma" w:cs="Tahoma"/>
                <w:sz w:val="16"/>
                <w:szCs w:val="16"/>
              </w:rPr>
              <w:t>requests to collect evidence of the registration of the UBO in the UBO register.</w:t>
            </w:r>
          </w:p>
          <w:p w14:paraId="7A351203" w14:textId="75C315F0" w:rsidR="00637B47" w:rsidRPr="00A23834" w:rsidRDefault="00637B47" w:rsidP="00925E7B">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Include “negative news” to be defined by the relevant methodology as the overriding factor.</w:t>
            </w:r>
          </w:p>
          <w:p w14:paraId="582D9E62" w14:textId="624973A0" w:rsidR="00637B47" w:rsidRPr="00A23834" w:rsidRDefault="00637B47" w:rsidP="00925E7B">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 xml:space="preserve">Insert “6” in Article 12, due to the business nature of correspondent banking is far away from retail deposit and corporate lending business. It is indeed necessary to have separate procedures to deal with this kind of business and this in accordance with article 40 of the AML Law of </w:t>
            </w:r>
            <w:r w:rsidR="00925E7B" w:rsidRPr="00A23834">
              <w:rPr>
                <w:rFonts w:ascii="Tahoma" w:eastAsia="標楷體" w:hAnsi="Tahoma" w:cs="Tahoma"/>
                <w:sz w:val="16"/>
                <w:szCs w:val="16"/>
              </w:rPr>
              <w:t>18.09.2017, as amended by the AML Law of 20.07.2020</w:t>
            </w:r>
            <w:r w:rsidRPr="00A23834">
              <w:rPr>
                <w:rFonts w:ascii="Tahoma" w:eastAsia="標楷體" w:hAnsi="Tahoma" w:cs="Tahoma"/>
                <w:sz w:val="16"/>
                <w:szCs w:val="16"/>
              </w:rPr>
              <w:t>.</w:t>
            </w:r>
          </w:p>
          <w:p w14:paraId="33A4C674" w14:textId="5DAB9B82" w:rsidR="00637B47" w:rsidRPr="00A23834" w:rsidRDefault="00637B47" w:rsidP="00925E7B">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 xml:space="preserve">due to the fact that article 38 of the AML Law of </w:t>
            </w:r>
            <w:r w:rsidR="00925E7B" w:rsidRPr="00A23834">
              <w:rPr>
                <w:rFonts w:ascii="Tahoma" w:eastAsia="標楷體" w:hAnsi="Tahoma" w:cs="Tahoma"/>
                <w:sz w:val="16"/>
                <w:szCs w:val="16"/>
              </w:rPr>
              <w:t xml:space="preserve">18.09.2017, as amended by the AML Law of 20.07.2020 </w:t>
            </w:r>
            <w:r w:rsidRPr="00A23834">
              <w:rPr>
                <w:rFonts w:ascii="Tahoma" w:eastAsia="標楷體" w:hAnsi="Tahoma" w:cs="Tahoma"/>
                <w:sz w:val="16"/>
                <w:szCs w:val="16"/>
              </w:rPr>
              <w:t>have earmarked the customers located in high risk countries as the customers for which special measures of increased vigilance are applicable.</w:t>
            </w:r>
          </w:p>
        </w:tc>
      </w:tr>
      <w:tr w:rsidR="00A23834" w:rsidRPr="00A23834" w14:paraId="275912E8" w14:textId="77777777" w:rsidTr="00645306">
        <w:trPr>
          <w:trHeight w:val="830"/>
        </w:trPr>
        <w:tc>
          <w:tcPr>
            <w:tcW w:w="896" w:type="dxa"/>
            <w:tcBorders>
              <w:top w:val="single" w:sz="4" w:space="0" w:color="000000"/>
              <w:left w:val="single" w:sz="4" w:space="0" w:color="000000"/>
              <w:bottom w:val="single" w:sz="4" w:space="0" w:color="000000"/>
              <w:right w:val="single" w:sz="4" w:space="0" w:color="000000"/>
            </w:tcBorders>
            <w:vAlign w:val="center"/>
          </w:tcPr>
          <w:p w14:paraId="5E556CCB" w14:textId="5ACDADC7" w:rsidR="005E4830" w:rsidRPr="00A23834" w:rsidRDefault="0043588E" w:rsidP="005E4830">
            <w:pPr>
              <w:spacing w:line="259" w:lineRule="auto"/>
              <w:jc w:val="center"/>
              <w:rPr>
                <w:sz w:val="16"/>
                <w:szCs w:val="16"/>
              </w:rPr>
            </w:pPr>
            <w:r w:rsidRPr="00A23834">
              <w:rPr>
                <w:sz w:val="16"/>
                <w:szCs w:val="16"/>
              </w:rPr>
              <w:t>28 Mar 201</w:t>
            </w:r>
            <w:r w:rsidR="00595253" w:rsidRPr="00A23834">
              <w:rPr>
                <w:sz w:val="16"/>
                <w:szCs w:val="16"/>
              </w:rPr>
              <w:t>9</w:t>
            </w:r>
          </w:p>
        </w:tc>
        <w:tc>
          <w:tcPr>
            <w:tcW w:w="896" w:type="dxa"/>
            <w:tcBorders>
              <w:top w:val="single" w:sz="4" w:space="0" w:color="000000"/>
              <w:left w:val="single" w:sz="4" w:space="0" w:color="000000"/>
              <w:bottom w:val="single" w:sz="4" w:space="0" w:color="000000"/>
              <w:right w:val="single" w:sz="4" w:space="0" w:color="auto"/>
            </w:tcBorders>
            <w:vAlign w:val="center"/>
          </w:tcPr>
          <w:p w14:paraId="0E3B912C" w14:textId="296BAD14" w:rsidR="005E4830" w:rsidRPr="00A23834" w:rsidRDefault="005E4830" w:rsidP="005E4830">
            <w:pPr>
              <w:spacing w:line="259" w:lineRule="auto"/>
              <w:jc w:val="center"/>
              <w:rPr>
                <w:sz w:val="16"/>
                <w:szCs w:val="16"/>
              </w:rPr>
            </w:pPr>
            <w:r w:rsidRPr="00A23834">
              <w:rPr>
                <w:sz w:val="16"/>
                <w:szCs w:val="16"/>
              </w:rPr>
              <w:t>07 May 2019</w:t>
            </w:r>
          </w:p>
        </w:tc>
        <w:tc>
          <w:tcPr>
            <w:tcW w:w="8108" w:type="dxa"/>
            <w:tcBorders>
              <w:top w:val="single" w:sz="4" w:space="0" w:color="000000"/>
              <w:left w:val="single" w:sz="4" w:space="0" w:color="000000"/>
              <w:bottom w:val="single" w:sz="4" w:space="0" w:color="000000"/>
              <w:right w:val="single" w:sz="4" w:space="0" w:color="000000"/>
            </w:tcBorders>
          </w:tcPr>
          <w:p w14:paraId="48545ACA" w14:textId="77777777" w:rsidR="00595253" w:rsidRPr="00A23834" w:rsidRDefault="00595253" w:rsidP="00444008">
            <w:pPr>
              <w:snapToGrid w:val="0"/>
              <w:spacing w:line="200" w:lineRule="exact"/>
              <w:jc w:val="both"/>
              <w:rPr>
                <w:rFonts w:ascii="Tahoma" w:eastAsia="標楷體" w:hAnsi="Tahoma" w:cs="Tahoma"/>
                <w:sz w:val="16"/>
                <w:szCs w:val="16"/>
              </w:rPr>
            </w:pPr>
            <w:r w:rsidRPr="00A23834">
              <w:rPr>
                <w:rFonts w:ascii="Tahoma" w:eastAsia="標楷體" w:hAnsi="Tahoma" w:cs="Tahoma"/>
                <w:sz w:val="16"/>
                <w:szCs w:val="16"/>
              </w:rPr>
              <w:t>The main changes are as the following:</w:t>
            </w:r>
          </w:p>
          <w:p w14:paraId="16B2ED22" w14:textId="5E7929E4" w:rsidR="00595253" w:rsidRPr="00A23834" w:rsidRDefault="00595253" w:rsidP="00444008">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Refuse to create correspondent banking business with the credit institution seeking to open an account with UTB. (Article 6, 2 to 8)</w:t>
            </w:r>
          </w:p>
          <w:p w14:paraId="53D2C3D5" w14:textId="6B9F8EB4" w:rsidR="00595253" w:rsidRPr="00A23834" w:rsidRDefault="00595253" w:rsidP="00444008">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Include if the beneﬁcial owners and the senior managers of the customers are regarded as “PEPS”. (Article 12, 2 (1) and 4)</w:t>
            </w:r>
          </w:p>
          <w:p w14:paraId="08BAEE7E" w14:textId="085D79D6" w:rsidR="00595253" w:rsidRPr="00A23834" w:rsidRDefault="00595253" w:rsidP="00444008">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Obtain the necessary information, such as name, date of birth, nationality, of the senior managers of the legal entity. (Article 14, 4)</w:t>
            </w:r>
          </w:p>
          <w:p w14:paraId="3C4BDEB6" w14:textId="77777777" w:rsidR="00637B47" w:rsidRPr="00A23834" w:rsidRDefault="00595253" w:rsidP="00444008">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Obtain the necessary information of the “High Risk proﬁle Customer" when implementing the enhanced customer due diligent measures and create business relationship. (Article 17,1 and 5)</w:t>
            </w:r>
          </w:p>
          <w:p w14:paraId="1E3D0E44" w14:textId="7095C24C" w:rsidR="005E4830" w:rsidRPr="00A23834" w:rsidRDefault="00595253" w:rsidP="00444008">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Stipulate the training schedule and minimum hours for AML/CFT supervisor AMLCO and personnel. (Article 25, 2)</w:t>
            </w:r>
          </w:p>
        </w:tc>
      </w:tr>
      <w:tr w:rsidR="00A23834" w:rsidRPr="00A23834" w14:paraId="2F8B98B8" w14:textId="77777777" w:rsidTr="00645306">
        <w:trPr>
          <w:trHeight w:val="830"/>
        </w:trPr>
        <w:tc>
          <w:tcPr>
            <w:tcW w:w="896" w:type="dxa"/>
            <w:tcBorders>
              <w:top w:val="single" w:sz="4" w:space="0" w:color="000000"/>
              <w:left w:val="single" w:sz="4" w:space="0" w:color="000000"/>
              <w:bottom w:val="single" w:sz="4" w:space="0" w:color="000000"/>
              <w:right w:val="single" w:sz="4" w:space="0" w:color="000000"/>
            </w:tcBorders>
            <w:vAlign w:val="center"/>
          </w:tcPr>
          <w:p w14:paraId="207B70E9" w14:textId="3591003F" w:rsidR="005E4830" w:rsidRPr="00A23834" w:rsidRDefault="0043588E" w:rsidP="005E4830">
            <w:pPr>
              <w:spacing w:line="259" w:lineRule="auto"/>
              <w:jc w:val="center"/>
              <w:rPr>
                <w:sz w:val="16"/>
                <w:szCs w:val="16"/>
              </w:rPr>
            </w:pPr>
            <w:r w:rsidRPr="00A23834">
              <w:rPr>
                <w:sz w:val="16"/>
                <w:szCs w:val="16"/>
              </w:rPr>
              <w:t>15 Oct 2018</w:t>
            </w:r>
          </w:p>
        </w:tc>
        <w:tc>
          <w:tcPr>
            <w:tcW w:w="896" w:type="dxa"/>
            <w:tcBorders>
              <w:top w:val="single" w:sz="4" w:space="0" w:color="000000"/>
              <w:left w:val="single" w:sz="4" w:space="0" w:color="000000"/>
              <w:bottom w:val="single" w:sz="4" w:space="0" w:color="000000"/>
              <w:right w:val="single" w:sz="4" w:space="0" w:color="auto"/>
            </w:tcBorders>
            <w:vAlign w:val="center"/>
          </w:tcPr>
          <w:p w14:paraId="3AA7716A" w14:textId="183C2576" w:rsidR="005E4830" w:rsidRPr="00A23834" w:rsidRDefault="005E4830" w:rsidP="005E4830">
            <w:pPr>
              <w:spacing w:line="259" w:lineRule="auto"/>
              <w:jc w:val="center"/>
              <w:rPr>
                <w:sz w:val="16"/>
                <w:szCs w:val="16"/>
              </w:rPr>
            </w:pPr>
            <w:r w:rsidRPr="00A23834">
              <w:rPr>
                <w:sz w:val="16"/>
                <w:szCs w:val="16"/>
              </w:rPr>
              <w:t>18 Dec 2018</w:t>
            </w:r>
          </w:p>
        </w:tc>
        <w:tc>
          <w:tcPr>
            <w:tcW w:w="8108" w:type="dxa"/>
            <w:tcBorders>
              <w:top w:val="single" w:sz="4" w:space="0" w:color="000000"/>
              <w:left w:val="single" w:sz="4" w:space="0" w:color="000000"/>
              <w:bottom w:val="single" w:sz="4" w:space="0" w:color="000000"/>
              <w:right w:val="single" w:sz="4" w:space="0" w:color="000000"/>
            </w:tcBorders>
          </w:tcPr>
          <w:p w14:paraId="1FB588E3" w14:textId="77777777" w:rsidR="00595253" w:rsidRPr="00A23834" w:rsidRDefault="00595253" w:rsidP="00444008">
            <w:pPr>
              <w:snapToGrid w:val="0"/>
              <w:spacing w:line="200" w:lineRule="exact"/>
              <w:jc w:val="both"/>
              <w:rPr>
                <w:rFonts w:ascii="Tahoma" w:eastAsia="標楷體" w:hAnsi="Tahoma" w:cs="Tahoma"/>
                <w:sz w:val="16"/>
                <w:szCs w:val="16"/>
              </w:rPr>
            </w:pPr>
            <w:r w:rsidRPr="00A23834">
              <w:rPr>
                <w:rFonts w:ascii="Tahoma" w:eastAsia="標楷體" w:hAnsi="Tahoma" w:cs="Tahoma"/>
                <w:sz w:val="16"/>
                <w:szCs w:val="16"/>
              </w:rPr>
              <w:t>The major updates are the following:</w:t>
            </w:r>
          </w:p>
          <w:p w14:paraId="50E68852" w14:textId="75E35362" w:rsidR="00595253" w:rsidRPr="00A23834" w:rsidRDefault="00595253" w:rsidP="00444008">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Appointment of a member of the management committee responsible for supervising the implementation of and compliance with the AML Law.</w:t>
            </w:r>
          </w:p>
          <w:p w14:paraId="370892AC" w14:textId="0BE6D9D0" w:rsidR="00595253" w:rsidRPr="00A23834" w:rsidRDefault="00595253" w:rsidP="00444008">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AML whistle blowing procedure.</w:t>
            </w:r>
          </w:p>
          <w:p w14:paraId="5EEFA500" w14:textId="6A1851B2" w:rsidR="00595253" w:rsidRPr="00A23834" w:rsidRDefault="00595253" w:rsidP="00444008">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Annual review of the overall risk assessment.</w:t>
            </w:r>
          </w:p>
          <w:p w14:paraId="2E4C3D1E" w14:textId="77777777" w:rsidR="00595253" w:rsidRPr="00A23834" w:rsidRDefault="00595253" w:rsidP="00444008">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Updated deﬁnition of UBO.</w:t>
            </w:r>
          </w:p>
          <w:p w14:paraId="44B6B005" w14:textId="4E911129" w:rsidR="005E4830" w:rsidRPr="00A23834" w:rsidRDefault="00595253" w:rsidP="00444008">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Update of the identification and veriﬁcation requirements of natural persons and legal entities, their proxies and UBO's.</w:t>
            </w:r>
          </w:p>
        </w:tc>
      </w:tr>
      <w:tr w:rsidR="00A23834" w:rsidRPr="00A23834" w14:paraId="6B1C4DBA" w14:textId="77777777" w:rsidTr="00645306">
        <w:trPr>
          <w:trHeight w:val="275"/>
        </w:trPr>
        <w:tc>
          <w:tcPr>
            <w:tcW w:w="896" w:type="dxa"/>
            <w:tcBorders>
              <w:top w:val="single" w:sz="4" w:space="0" w:color="000000"/>
              <w:left w:val="single" w:sz="4" w:space="0" w:color="000000"/>
              <w:bottom w:val="single" w:sz="4" w:space="0" w:color="000000"/>
              <w:right w:val="single" w:sz="4" w:space="0" w:color="000000"/>
            </w:tcBorders>
            <w:vAlign w:val="center"/>
          </w:tcPr>
          <w:p w14:paraId="40A5CDCE" w14:textId="6599EB5E" w:rsidR="005E4830" w:rsidRPr="00A23834" w:rsidRDefault="0043588E" w:rsidP="005E4830">
            <w:pPr>
              <w:spacing w:line="259" w:lineRule="auto"/>
              <w:jc w:val="center"/>
              <w:rPr>
                <w:sz w:val="16"/>
                <w:szCs w:val="16"/>
              </w:rPr>
            </w:pPr>
            <w:r w:rsidRPr="00A23834">
              <w:rPr>
                <w:sz w:val="16"/>
                <w:szCs w:val="16"/>
              </w:rPr>
              <w:t>13 Apr 2018</w:t>
            </w:r>
          </w:p>
        </w:tc>
        <w:tc>
          <w:tcPr>
            <w:tcW w:w="896" w:type="dxa"/>
            <w:tcBorders>
              <w:top w:val="single" w:sz="4" w:space="0" w:color="000000"/>
              <w:left w:val="single" w:sz="4" w:space="0" w:color="000000"/>
              <w:bottom w:val="single" w:sz="4" w:space="0" w:color="000000"/>
              <w:right w:val="single" w:sz="4" w:space="0" w:color="auto"/>
            </w:tcBorders>
            <w:vAlign w:val="center"/>
          </w:tcPr>
          <w:p w14:paraId="33D524A3" w14:textId="536040F2" w:rsidR="005E4830" w:rsidRPr="00A23834" w:rsidRDefault="005E4830" w:rsidP="005E4830">
            <w:pPr>
              <w:spacing w:line="259" w:lineRule="auto"/>
              <w:jc w:val="center"/>
              <w:rPr>
                <w:sz w:val="16"/>
                <w:szCs w:val="16"/>
              </w:rPr>
            </w:pPr>
            <w:r w:rsidRPr="00A23834">
              <w:rPr>
                <w:sz w:val="16"/>
                <w:szCs w:val="16"/>
              </w:rPr>
              <w:t>14 May 2018</w:t>
            </w:r>
          </w:p>
        </w:tc>
        <w:tc>
          <w:tcPr>
            <w:tcW w:w="8108" w:type="dxa"/>
            <w:tcBorders>
              <w:top w:val="single" w:sz="4" w:space="0" w:color="000000"/>
              <w:left w:val="single" w:sz="4" w:space="0" w:color="000000"/>
              <w:bottom w:val="single" w:sz="4" w:space="0" w:color="000000"/>
              <w:right w:val="single" w:sz="4" w:space="0" w:color="000000"/>
            </w:tcBorders>
          </w:tcPr>
          <w:p w14:paraId="525F302B" w14:textId="06CE3320" w:rsidR="00491FBB" w:rsidRPr="00A23834" w:rsidRDefault="00491FBB" w:rsidP="00444008">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We have added under a new article 3, an overview of the AML policies, procedures and internal control measures which have to be in place.</w:t>
            </w:r>
          </w:p>
          <w:p w14:paraId="6B442879" w14:textId="68CF2839" w:rsidR="00491FBB" w:rsidRPr="00A23834" w:rsidRDefault="00491FBB" w:rsidP="00444008">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Article 4, elaborates on the AML overall risk assessment which has to be done on a yearly basis. The first one was submitted on Mar 29, 2018 to the National Bank of Belgium.</w:t>
            </w:r>
          </w:p>
          <w:p w14:paraId="76CFF4C2" w14:textId="68EF0E45" w:rsidR="00491FBB" w:rsidRPr="00A23834" w:rsidRDefault="00491FBB" w:rsidP="00444008">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lastRenderedPageBreak/>
              <w:t>Under article 20, we have described more in detail the processing of a-typical transactions and under article 21, the reporting of suspicious ML/TF transactions.</w:t>
            </w:r>
          </w:p>
          <w:p w14:paraId="14386661" w14:textId="20746B56" w:rsidR="00491FBB" w:rsidRPr="00A23834" w:rsidRDefault="00491FBB" w:rsidP="00444008">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We have included under article 22, the requirements of the Belgian privacy law with regard to the protection of personal data.</w:t>
            </w:r>
          </w:p>
          <w:p w14:paraId="12EB6206" w14:textId="3741FC2B" w:rsidR="005E4830" w:rsidRPr="00A23834" w:rsidRDefault="00491FBB" w:rsidP="00444008">
            <w:pPr>
              <w:pStyle w:val="ListParagraph"/>
              <w:numPr>
                <w:ilvl w:val="0"/>
                <w:numId w:val="32"/>
              </w:numPr>
              <w:snapToGrid w:val="0"/>
              <w:spacing w:line="200" w:lineRule="exact"/>
              <w:ind w:leftChars="0" w:left="436"/>
              <w:jc w:val="both"/>
              <w:rPr>
                <w:sz w:val="16"/>
                <w:szCs w:val="16"/>
              </w:rPr>
            </w:pPr>
            <w:r w:rsidRPr="00A23834">
              <w:rPr>
                <w:rFonts w:ascii="Tahoma" w:eastAsia="標楷體" w:hAnsi="Tahoma" w:cs="Tahoma"/>
                <w:sz w:val="16"/>
                <w:szCs w:val="16"/>
              </w:rPr>
              <w:t>We have included under article 24, the need to appoint a member of the management committee to be responsible for supervising the implementation of the AML Laws.</w:t>
            </w:r>
          </w:p>
        </w:tc>
      </w:tr>
      <w:tr w:rsidR="00A23834" w:rsidRPr="00A23834" w14:paraId="72387B1F" w14:textId="77777777" w:rsidTr="00645306">
        <w:trPr>
          <w:trHeight w:val="830"/>
        </w:trPr>
        <w:tc>
          <w:tcPr>
            <w:tcW w:w="896" w:type="dxa"/>
            <w:tcBorders>
              <w:top w:val="single" w:sz="4" w:space="0" w:color="000000"/>
              <w:left w:val="single" w:sz="4" w:space="0" w:color="000000"/>
              <w:bottom w:val="single" w:sz="4" w:space="0" w:color="000000"/>
              <w:right w:val="single" w:sz="4" w:space="0" w:color="000000"/>
            </w:tcBorders>
            <w:vAlign w:val="center"/>
          </w:tcPr>
          <w:p w14:paraId="7B2C15E1" w14:textId="086CA10F" w:rsidR="005E4830" w:rsidRPr="00A23834" w:rsidRDefault="0043588E" w:rsidP="005E4830">
            <w:pPr>
              <w:spacing w:line="259" w:lineRule="auto"/>
              <w:jc w:val="center"/>
              <w:rPr>
                <w:sz w:val="16"/>
                <w:szCs w:val="16"/>
              </w:rPr>
            </w:pPr>
            <w:r w:rsidRPr="00A23834">
              <w:rPr>
                <w:sz w:val="16"/>
                <w:szCs w:val="16"/>
              </w:rPr>
              <w:lastRenderedPageBreak/>
              <w:t>30 Oct 2017</w:t>
            </w:r>
          </w:p>
        </w:tc>
        <w:tc>
          <w:tcPr>
            <w:tcW w:w="896" w:type="dxa"/>
            <w:tcBorders>
              <w:top w:val="single" w:sz="4" w:space="0" w:color="000000"/>
              <w:left w:val="single" w:sz="4" w:space="0" w:color="000000"/>
              <w:bottom w:val="single" w:sz="4" w:space="0" w:color="000000"/>
              <w:right w:val="single" w:sz="4" w:space="0" w:color="auto"/>
            </w:tcBorders>
            <w:vAlign w:val="center"/>
          </w:tcPr>
          <w:p w14:paraId="6550442F" w14:textId="52A846B1" w:rsidR="005E4830" w:rsidRPr="00A23834" w:rsidRDefault="005E4830" w:rsidP="005E4830">
            <w:pPr>
              <w:spacing w:line="259" w:lineRule="auto"/>
              <w:jc w:val="center"/>
              <w:rPr>
                <w:sz w:val="16"/>
                <w:szCs w:val="16"/>
              </w:rPr>
            </w:pPr>
            <w:r w:rsidRPr="00A23834">
              <w:rPr>
                <w:sz w:val="16"/>
                <w:szCs w:val="16"/>
              </w:rPr>
              <w:t>12 Dec 2017</w:t>
            </w:r>
          </w:p>
        </w:tc>
        <w:tc>
          <w:tcPr>
            <w:tcW w:w="8108" w:type="dxa"/>
            <w:tcBorders>
              <w:top w:val="single" w:sz="4" w:space="0" w:color="000000"/>
              <w:left w:val="single" w:sz="4" w:space="0" w:color="000000"/>
              <w:bottom w:val="single" w:sz="4" w:space="0" w:color="000000"/>
              <w:right w:val="single" w:sz="4" w:space="0" w:color="000000"/>
            </w:tcBorders>
          </w:tcPr>
          <w:p w14:paraId="076D8778" w14:textId="0BFE96E0" w:rsidR="00155479" w:rsidRPr="00A23834" w:rsidRDefault="00155479" w:rsidP="00444008">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The criteria deﬁned in artic</w:t>
            </w:r>
            <w:r w:rsidR="00491FBB" w:rsidRPr="00A23834">
              <w:rPr>
                <w:rFonts w:ascii="Tahoma" w:eastAsia="標楷體" w:hAnsi="Tahoma" w:cs="Tahoma"/>
                <w:sz w:val="16"/>
                <w:szCs w:val="16"/>
              </w:rPr>
              <w:t>l</w:t>
            </w:r>
            <w:r w:rsidRPr="00A23834">
              <w:rPr>
                <w:rFonts w:ascii="Tahoma" w:eastAsia="標楷體" w:hAnsi="Tahoma" w:cs="Tahoma"/>
                <w:sz w:val="16"/>
                <w:szCs w:val="16"/>
              </w:rPr>
              <w:t xml:space="preserve">e 10 to classify the customers in </w:t>
            </w:r>
            <w:r w:rsidR="00491FBB" w:rsidRPr="00A23834">
              <w:rPr>
                <w:rFonts w:ascii="Tahoma" w:eastAsia="標楷體" w:hAnsi="Tahoma" w:cs="Tahoma"/>
                <w:sz w:val="16"/>
                <w:szCs w:val="16"/>
              </w:rPr>
              <w:t>l</w:t>
            </w:r>
            <w:r w:rsidRPr="00A23834">
              <w:rPr>
                <w:rFonts w:ascii="Tahoma" w:eastAsia="標楷體" w:hAnsi="Tahoma" w:cs="Tahoma"/>
                <w:sz w:val="16"/>
                <w:szCs w:val="16"/>
              </w:rPr>
              <w:t>ow risk, medium</w:t>
            </w:r>
            <w:r w:rsidR="00597800" w:rsidRPr="00A23834">
              <w:rPr>
                <w:rFonts w:ascii="Tahoma" w:eastAsia="標楷體" w:hAnsi="Tahoma" w:cs="Tahoma"/>
                <w:sz w:val="16"/>
                <w:szCs w:val="16"/>
              </w:rPr>
              <w:t xml:space="preserve"> </w:t>
            </w:r>
            <w:r w:rsidRPr="00A23834">
              <w:rPr>
                <w:rFonts w:ascii="Tahoma" w:eastAsia="標楷體" w:hAnsi="Tahoma" w:cs="Tahoma"/>
                <w:sz w:val="16"/>
                <w:szCs w:val="16"/>
              </w:rPr>
              <w:t>risk and high risk, have been changed in order to comp</w:t>
            </w:r>
            <w:r w:rsidR="00597800" w:rsidRPr="00A23834">
              <w:rPr>
                <w:rFonts w:ascii="Tahoma" w:eastAsia="標楷體" w:hAnsi="Tahoma" w:cs="Tahoma"/>
                <w:sz w:val="16"/>
                <w:szCs w:val="16"/>
              </w:rPr>
              <w:t>l</w:t>
            </w:r>
            <w:r w:rsidRPr="00A23834">
              <w:rPr>
                <w:rFonts w:ascii="Tahoma" w:eastAsia="標楷體" w:hAnsi="Tahoma" w:cs="Tahoma"/>
                <w:sz w:val="16"/>
                <w:szCs w:val="16"/>
              </w:rPr>
              <w:t>y with the European</w:t>
            </w:r>
            <w:r w:rsidR="00597800" w:rsidRPr="00A23834">
              <w:rPr>
                <w:rFonts w:ascii="Tahoma" w:eastAsia="標楷體" w:hAnsi="Tahoma" w:cs="Tahoma"/>
                <w:sz w:val="16"/>
                <w:szCs w:val="16"/>
              </w:rPr>
              <w:t xml:space="preserve"> </w:t>
            </w:r>
            <w:r w:rsidRPr="00A23834">
              <w:rPr>
                <w:rFonts w:ascii="Tahoma" w:eastAsia="標楷體" w:hAnsi="Tahoma" w:cs="Tahoma"/>
                <w:sz w:val="16"/>
                <w:szCs w:val="16"/>
              </w:rPr>
              <w:t>Union IV AML Directive.</w:t>
            </w:r>
          </w:p>
          <w:p w14:paraId="22837153" w14:textId="3A01EE1E" w:rsidR="00155479" w:rsidRPr="00A23834" w:rsidRDefault="00155479" w:rsidP="00444008">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A new “Money Laundering and Terrorism Financing Risk Assessment Table</w:t>
            </w:r>
            <w:r w:rsidR="00597800" w:rsidRPr="00A23834">
              <w:rPr>
                <w:rFonts w:ascii="Tahoma" w:eastAsia="標楷體" w:hAnsi="Tahoma" w:cs="Tahoma"/>
                <w:sz w:val="16"/>
                <w:szCs w:val="16"/>
              </w:rPr>
              <w:t>”</w:t>
            </w:r>
            <w:r w:rsidRPr="00A23834">
              <w:rPr>
                <w:rFonts w:ascii="Tahoma" w:eastAsia="標楷體" w:hAnsi="Tahoma" w:cs="Tahoma"/>
                <w:sz w:val="16"/>
                <w:szCs w:val="16"/>
              </w:rPr>
              <w:t xml:space="preserve"> (referred to in article 10.1) has been created, a</w:t>
            </w:r>
            <w:r w:rsidR="00597800" w:rsidRPr="00A23834">
              <w:rPr>
                <w:rFonts w:ascii="Tahoma" w:eastAsia="標楷體" w:hAnsi="Tahoma" w:cs="Tahoma"/>
                <w:sz w:val="16"/>
                <w:szCs w:val="16"/>
              </w:rPr>
              <w:t>l</w:t>
            </w:r>
            <w:r w:rsidRPr="00A23834">
              <w:rPr>
                <w:rFonts w:ascii="Tahoma" w:eastAsia="標楷體" w:hAnsi="Tahoma" w:cs="Tahoma"/>
                <w:sz w:val="16"/>
                <w:szCs w:val="16"/>
              </w:rPr>
              <w:t xml:space="preserve">so in </w:t>
            </w:r>
            <w:r w:rsidR="00597800" w:rsidRPr="00A23834">
              <w:rPr>
                <w:rFonts w:ascii="Tahoma" w:eastAsia="標楷體" w:hAnsi="Tahoma" w:cs="Tahoma"/>
                <w:sz w:val="16"/>
                <w:szCs w:val="16"/>
              </w:rPr>
              <w:t>l</w:t>
            </w:r>
            <w:r w:rsidRPr="00A23834">
              <w:rPr>
                <w:rFonts w:ascii="Tahoma" w:eastAsia="標楷體" w:hAnsi="Tahoma" w:cs="Tahoma"/>
                <w:sz w:val="16"/>
                <w:szCs w:val="16"/>
              </w:rPr>
              <w:t>ine with the European</w:t>
            </w:r>
            <w:r w:rsidR="00597800" w:rsidRPr="00A23834">
              <w:rPr>
                <w:rFonts w:ascii="Tahoma" w:eastAsia="標楷體" w:hAnsi="Tahoma" w:cs="Tahoma"/>
                <w:sz w:val="16"/>
                <w:szCs w:val="16"/>
              </w:rPr>
              <w:t xml:space="preserve"> </w:t>
            </w:r>
            <w:r w:rsidRPr="00A23834">
              <w:rPr>
                <w:rFonts w:ascii="Tahoma" w:eastAsia="標楷體" w:hAnsi="Tahoma" w:cs="Tahoma"/>
                <w:sz w:val="16"/>
                <w:szCs w:val="16"/>
              </w:rPr>
              <w:t xml:space="preserve">Union </w:t>
            </w:r>
            <w:r w:rsidR="00491FBB" w:rsidRPr="00A23834">
              <w:rPr>
                <w:rFonts w:ascii="Tahoma" w:eastAsia="標楷體" w:hAnsi="Tahoma" w:cs="Tahoma"/>
                <w:sz w:val="16"/>
                <w:szCs w:val="16"/>
              </w:rPr>
              <w:t>I</w:t>
            </w:r>
            <w:r w:rsidRPr="00A23834">
              <w:rPr>
                <w:rFonts w:ascii="Tahoma" w:eastAsia="標楷體" w:hAnsi="Tahoma" w:cs="Tahoma"/>
                <w:sz w:val="16"/>
                <w:szCs w:val="16"/>
              </w:rPr>
              <w:t xml:space="preserve">V AML Directive and the </w:t>
            </w:r>
            <w:r w:rsidR="00491FBB" w:rsidRPr="00A23834">
              <w:rPr>
                <w:rFonts w:ascii="Tahoma" w:eastAsia="標楷體" w:hAnsi="Tahoma" w:cs="Tahoma"/>
                <w:sz w:val="16"/>
                <w:szCs w:val="16"/>
              </w:rPr>
              <w:t>risk-based</w:t>
            </w:r>
            <w:r w:rsidRPr="00A23834">
              <w:rPr>
                <w:rFonts w:ascii="Tahoma" w:eastAsia="標楷體" w:hAnsi="Tahoma" w:cs="Tahoma"/>
                <w:sz w:val="16"/>
                <w:szCs w:val="16"/>
              </w:rPr>
              <w:t xml:space="preserve"> approach requested in this Directive.</w:t>
            </w:r>
          </w:p>
          <w:p w14:paraId="5354AB32" w14:textId="6B77AEAB" w:rsidR="005E4830" w:rsidRPr="00A23834" w:rsidRDefault="00155479" w:rsidP="00444008">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 A new “increasing risk" section has been created under article 10. The</w:t>
            </w:r>
            <w:r w:rsidR="00597800" w:rsidRPr="00A23834">
              <w:rPr>
                <w:rFonts w:ascii="Tahoma" w:eastAsia="標楷體" w:hAnsi="Tahoma" w:cs="Tahoma"/>
                <w:sz w:val="16"/>
                <w:szCs w:val="16"/>
              </w:rPr>
              <w:t xml:space="preserve"> </w:t>
            </w:r>
            <w:r w:rsidRPr="00A23834">
              <w:rPr>
                <w:rFonts w:ascii="Tahoma" w:eastAsia="標楷體" w:hAnsi="Tahoma" w:cs="Tahoma" w:hint="eastAsia"/>
                <w:sz w:val="16"/>
                <w:szCs w:val="16"/>
              </w:rPr>
              <w:t>“</w:t>
            </w:r>
            <w:r w:rsidRPr="00A23834">
              <w:rPr>
                <w:rFonts w:ascii="Tahoma" w:eastAsia="標楷體" w:hAnsi="Tahoma" w:cs="Tahoma"/>
                <w:sz w:val="16"/>
                <w:szCs w:val="16"/>
              </w:rPr>
              <w:t>increasing risk" factors under this section were taken from the N</w:t>
            </w:r>
            <w:r w:rsidR="00597800" w:rsidRPr="00A23834">
              <w:rPr>
                <w:rFonts w:ascii="Tahoma" w:eastAsia="標楷體" w:hAnsi="Tahoma" w:cs="Tahoma"/>
                <w:sz w:val="16"/>
                <w:szCs w:val="16"/>
              </w:rPr>
              <w:t>BB</w:t>
            </w:r>
            <w:r w:rsidRPr="00A23834">
              <w:rPr>
                <w:rFonts w:ascii="Tahoma" w:eastAsia="標楷體" w:hAnsi="Tahoma" w:cs="Tahoma"/>
                <w:sz w:val="16"/>
                <w:szCs w:val="16"/>
              </w:rPr>
              <w:t xml:space="preserve"> AML</w:t>
            </w:r>
            <w:r w:rsidR="00597800" w:rsidRPr="00A23834">
              <w:rPr>
                <w:rFonts w:ascii="Tahoma" w:eastAsia="標楷體" w:hAnsi="Tahoma" w:cs="Tahoma"/>
                <w:sz w:val="16"/>
                <w:szCs w:val="16"/>
              </w:rPr>
              <w:t xml:space="preserve"> </w:t>
            </w:r>
            <w:r w:rsidRPr="00A23834">
              <w:rPr>
                <w:rFonts w:ascii="Tahoma" w:eastAsia="標楷體" w:hAnsi="Tahoma" w:cs="Tahoma"/>
                <w:sz w:val="16"/>
                <w:szCs w:val="16"/>
              </w:rPr>
              <w:t>questionnaire sent to the banks this year.</w:t>
            </w:r>
          </w:p>
        </w:tc>
      </w:tr>
      <w:tr w:rsidR="00A23834" w:rsidRPr="00A23834" w14:paraId="363FF6E1" w14:textId="77777777" w:rsidTr="00645306">
        <w:trPr>
          <w:trHeight w:val="830"/>
        </w:trPr>
        <w:tc>
          <w:tcPr>
            <w:tcW w:w="896" w:type="dxa"/>
            <w:tcBorders>
              <w:top w:val="single" w:sz="4" w:space="0" w:color="000000"/>
              <w:left w:val="single" w:sz="4" w:space="0" w:color="000000"/>
              <w:bottom w:val="single" w:sz="4" w:space="0" w:color="000000"/>
              <w:right w:val="single" w:sz="4" w:space="0" w:color="000000"/>
            </w:tcBorders>
            <w:vAlign w:val="center"/>
          </w:tcPr>
          <w:p w14:paraId="33E579B9" w14:textId="7734DAAA" w:rsidR="005E4830" w:rsidRPr="00A23834" w:rsidRDefault="0043588E" w:rsidP="005E4830">
            <w:pPr>
              <w:spacing w:line="259" w:lineRule="auto"/>
              <w:jc w:val="center"/>
              <w:rPr>
                <w:sz w:val="16"/>
                <w:szCs w:val="16"/>
              </w:rPr>
            </w:pPr>
            <w:r w:rsidRPr="00A23834">
              <w:rPr>
                <w:sz w:val="16"/>
                <w:szCs w:val="16"/>
              </w:rPr>
              <w:t>11 Apr 2017</w:t>
            </w:r>
          </w:p>
        </w:tc>
        <w:tc>
          <w:tcPr>
            <w:tcW w:w="896" w:type="dxa"/>
            <w:tcBorders>
              <w:top w:val="single" w:sz="4" w:space="0" w:color="000000"/>
              <w:left w:val="single" w:sz="4" w:space="0" w:color="000000"/>
              <w:bottom w:val="single" w:sz="4" w:space="0" w:color="000000"/>
              <w:right w:val="single" w:sz="4" w:space="0" w:color="auto"/>
            </w:tcBorders>
            <w:vAlign w:val="center"/>
          </w:tcPr>
          <w:p w14:paraId="057B71B9" w14:textId="55E1527B" w:rsidR="005E4830" w:rsidRPr="00A23834" w:rsidRDefault="005E4830" w:rsidP="005E4830">
            <w:pPr>
              <w:spacing w:line="259" w:lineRule="auto"/>
              <w:jc w:val="center"/>
              <w:rPr>
                <w:sz w:val="16"/>
                <w:szCs w:val="16"/>
              </w:rPr>
            </w:pPr>
            <w:r w:rsidRPr="00A23834">
              <w:rPr>
                <w:rFonts w:hint="eastAsia"/>
                <w:sz w:val="16"/>
                <w:szCs w:val="16"/>
              </w:rPr>
              <w:t>09 Ma</w:t>
            </w:r>
            <w:r w:rsidRPr="00A23834">
              <w:rPr>
                <w:sz w:val="16"/>
                <w:szCs w:val="16"/>
              </w:rPr>
              <w:t xml:space="preserve">y </w:t>
            </w:r>
            <w:r w:rsidRPr="00A23834">
              <w:rPr>
                <w:rFonts w:hint="eastAsia"/>
                <w:sz w:val="16"/>
                <w:szCs w:val="16"/>
              </w:rPr>
              <w:t>2017</w:t>
            </w:r>
          </w:p>
        </w:tc>
        <w:tc>
          <w:tcPr>
            <w:tcW w:w="8108" w:type="dxa"/>
            <w:tcBorders>
              <w:top w:val="single" w:sz="4" w:space="0" w:color="000000"/>
              <w:left w:val="single" w:sz="4" w:space="0" w:color="000000"/>
              <w:bottom w:val="single" w:sz="4" w:space="0" w:color="000000"/>
              <w:right w:val="single" w:sz="4" w:space="0" w:color="000000"/>
            </w:tcBorders>
          </w:tcPr>
          <w:p w14:paraId="3A956349" w14:textId="11F09E7B" w:rsidR="00491FBB" w:rsidRPr="00A23834" w:rsidRDefault="00491FBB" w:rsidP="00444008">
            <w:pPr>
              <w:pStyle w:val="ListParagraph"/>
              <w:numPr>
                <w:ilvl w:val="0"/>
                <w:numId w:val="32"/>
              </w:numPr>
              <w:snapToGrid w:val="0"/>
              <w:spacing w:line="200" w:lineRule="exact"/>
              <w:ind w:leftChars="0" w:left="436"/>
              <w:jc w:val="both"/>
              <w:rPr>
                <w:rFonts w:ascii="Tahoma" w:eastAsia="標楷體" w:hAnsi="Tahoma" w:cs="Tahoma"/>
                <w:sz w:val="16"/>
                <w:szCs w:val="16"/>
              </w:rPr>
            </w:pPr>
            <w:r w:rsidRPr="00A23834">
              <w:rPr>
                <w:rFonts w:ascii="Tahoma" w:eastAsia="標楷體" w:hAnsi="Tahoma" w:cs="Tahoma"/>
                <w:sz w:val="16"/>
                <w:szCs w:val="16"/>
              </w:rPr>
              <w:t>With the aim to make more detailed guidelines governing anti- money laundering and countering of terrorism, a new separate document has been drafted. Before, these guidelines were included in the Guidelines for Deposit and Remittance activities.</w:t>
            </w:r>
          </w:p>
          <w:p w14:paraId="6BC66C91" w14:textId="72833873" w:rsidR="00491FBB" w:rsidRPr="00A23834" w:rsidRDefault="00491FBB" w:rsidP="00444008">
            <w:pPr>
              <w:pStyle w:val="ListParagraph"/>
              <w:numPr>
                <w:ilvl w:val="0"/>
                <w:numId w:val="32"/>
              </w:numPr>
              <w:snapToGrid w:val="0"/>
              <w:spacing w:line="200" w:lineRule="exact"/>
              <w:ind w:leftChars="0" w:left="436"/>
              <w:jc w:val="both"/>
              <w:rPr>
                <w:sz w:val="16"/>
                <w:szCs w:val="16"/>
              </w:rPr>
            </w:pPr>
            <w:r w:rsidRPr="00A23834">
              <w:rPr>
                <w:rFonts w:ascii="Tahoma" w:eastAsia="標楷體" w:hAnsi="Tahoma" w:cs="Tahoma"/>
                <w:sz w:val="16"/>
                <w:szCs w:val="16"/>
              </w:rPr>
              <w:t>These guidelines follow/include the Belgian and Taiwanese laws and regulations in these matters.</w:t>
            </w:r>
          </w:p>
        </w:tc>
      </w:tr>
    </w:tbl>
    <w:p w14:paraId="7967BDD9" w14:textId="77777777" w:rsidR="00637B47" w:rsidRPr="00A23834" w:rsidRDefault="00637B47" w:rsidP="00DE4037">
      <w:pPr>
        <w:spacing w:line="520" w:lineRule="exact"/>
        <w:jc w:val="both"/>
        <w:rPr>
          <w:rFonts w:eastAsia="標楷體" w:cs="Calibri"/>
          <w:b/>
          <w:bCs/>
          <w:sz w:val="32"/>
          <w:szCs w:val="32"/>
        </w:rPr>
      </w:pPr>
    </w:p>
    <w:p w14:paraId="268EC017" w14:textId="4411B1B0" w:rsidR="00637B47" w:rsidRPr="00A23834" w:rsidRDefault="00637B47" w:rsidP="00DE4037">
      <w:pPr>
        <w:spacing w:line="520" w:lineRule="exact"/>
        <w:jc w:val="both"/>
        <w:rPr>
          <w:rFonts w:eastAsia="標楷體" w:cs="Calibri"/>
          <w:b/>
          <w:bCs/>
          <w:sz w:val="32"/>
          <w:szCs w:val="32"/>
        </w:rPr>
      </w:pPr>
    </w:p>
    <w:p w14:paraId="3BC29114" w14:textId="77777777" w:rsidR="00CF74EE" w:rsidRDefault="00CF74EE">
      <w:pPr>
        <w:widowControl/>
        <w:spacing w:line="240" w:lineRule="auto"/>
        <w:rPr>
          <w:rFonts w:eastAsia="標楷體" w:cs="Calibri"/>
          <w:b/>
          <w:bCs/>
          <w:sz w:val="32"/>
          <w:szCs w:val="32"/>
        </w:rPr>
      </w:pPr>
      <w:r>
        <w:rPr>
          <w:rFonts w:eastAsia="標楷體" w:cs="Calibri"/>
          <w:b/>
          <w:bCs/>
          <w:sz w:val="32"/>
          <w:szCs w:val="32"/>
        </w:rPr>
        <w:br w:type="page"/>
      </w:r>
    </w:p>
    <w:sdt>
      <w:sdtPr>
        <w:rPr>
          <w:rFonts w:ascii="Calibri" w:eastAsia="新細明體" w:hAnsi="Calibri" w:cs="Times New Roman"/>
          <w:color w:val="auto"/>
          <w:kern w:val="2"/>
          <w:sz w:val="24"/>
          <w:szCs w:val="22"/>
          <w:lang w:eastAsia="zh-TW"/>
        </w:rPr>
        <w:id w:val="1315527544"/>
        <w:docPartObj>
          <w:docPartGallery w:val="Table of Contents"/>
          <w:docPartUnique/>
        </w:docPartObj>
      </w:sdtPr>
      <w:sdtEndPr>
        <w:rPr>
          <w:b/>
          <w:bCs/>
          <w:noProof/>
        </w:rPr>
      </w:sdtEndPr>
      <w:sdtContent>
        <w:p w14:paraId="64001A9F" w14:textId="2E04577E" w:rsidR="00784507" w:rsidRDefault="00B307C4" w:rsidP="00B307C4">
          <w:pPr>
            <w:pStyle w:val="TOCHeading"/>
            <w:jc w:val="center"/>
          </w:pPr>
          <w:r>
            <w:t xml:space="preserve">Table of </w:t>
          </w:r>
          <w:r w:rsidR="00784507">
            <w:t>Contents</w:t>
          </w:r>
        </w:p>
        <w:p w14:paraId="65A170B5" w14:textId="20FAEF7A" w:rsidR="00EE74F6" w:rsidRDefault="00784507">
          <w:pPr>
            <w:pStyle w:val="TOC1"/>
            <w:tabs>
              <w:tab w:val="right" w:leader="dot" w:pos="9060"/>
            </w:tabs>
            <w:rPr>
              <w:rFonts w:asciiTheme="minorHAnsi" w:eastAsiaTheme="minorEastAsia" w:hAnsiTheme="minorHAnsi" w:cstheme="minorBidi"/>
              <w:b w:val="0"/>
              <w:noProof/>
              <w:sz w:val="22"/>
              <w14:ligatures w14:val="standardContextual"/>
            </w:rPr>
          </w:pPr>
          <w:r>
            <w:fldChar w:fldCharType="begin"/>
          </w:r>
          <w:r>
            <w:instrText xml:space="preserve"> TOC \o "1-3" \h \z \u </w:instrText>
          </w:r>
          <w:r>
            <w:fldChar w:fldCharType="separate"/>
          </w:r>
          <w:hyperlink w:anchor="_Toc142484941" w:history="1">
            <w:r w:rsidR="00EE74F6" w:rsidRPr="00C33226">
              <w:rPr>
                <w:rStyle w:val="Hyperlink"/>
                <w:rFonts w:ascii="Tahoma" w:eastAsia="標楷體" w:hAnsi="Tahoma" w:cs="Tahoma"/>
                <w:bCs/>
                <w:noProof/>
              </w:rPr>
              <w:t>Chapter One- General Rules</w:t>
            </w:r>
            <w:r w:rsidR="00EE74F6">
              <w:rPr>
                <w:noProof/>
                <w:webHidden/>
              </w:rPr>
              <w:tab/>
            </w:r>
            <w:r w:rsidR="00EE74F6">
              <w:rPr>
                <w:noProof/>
                <w:webHidden/>
              </w:rPr>
              <w:fldChar w:fldCharType="begin"/>
            </w:r>
            <w:r w:rsidR="00EE74F6">
              <w:rPr>
                <w:noProof/>
                <w:webHidden/>
              </w:rPr>
              <w:instrText xml:space="preserve"> PAGEREF _Toc142484941 \h </w:instrText>
            </w:r>
            <w:r w:rsidR="00EE74F6">
              <w:rPr>
                <w:noProof/>
                <w:webHidden/>
              </w:rPr>
            </w:r>
            <w:r w:rsidR="00EE74F6">
              <w:rPr>
                <w:noProof/>
                <w:webHidden/>
              </w:rPr>
              <w:fldChar w:fldCharType="separate"/>
            </w:r>
            <w:r w:rsidR="00BC04C2">
              <w:rPr>
                <w:noProof/>
                <w:webHidden/>
              </w:rPr>
              <w:t>5</w:t>
            </w:r>
            <w:r w:rsidR="00EE74F6">
              <w:rPr>
                <w:noProof/>
                <w:webHidden/>
              </w:rPr>
              <w:fldChar w:fldCharType="end"/>
            </w:r>
          </w:hyperlink>
        </w:p>
        <w:p w14:paraId="7D6DB581" w14:textId="08F6B15B"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42" w:history="1">
            <w:r w:rsidRPr="00C33226">
              <w:rPr>
                <w:rStyle w:val="Hyperlink"/>
                <w:rFonts w:ascii="Tahoma" w:eastAsia="標楷體" w:hAnsi="Tahoma" w:cs="Tahoma"/>
                <w:b/>
                <w:bCs/>
                <w:noProof/>
              </w:rPr>
              <w:t>Article  1</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bCs/>
                <w:noProof/>
              </w:rPr>
              <w:t>Introduction</w:t>
            </w:r>
            <w:r>
              <w:rPr>
                <w:noProof/>
                <w:webHidden/>
              </w:rPr>
              <w:tab/>
            </w:r>
            <w:r>
              <w:rPr>
                <w:noProof/>
                <w:webHidden/>
              </w:rPr>
              <w:fldChar w:fldCharType="begin"/>
            </w:r>
            <w:r>
              <w:rPr>
                <w:noProof/>
                <w:webHidden/>
              </w:rPr>
              <w:instrText xml:space="preserve"> PAGEREF _Toc142484942 \h </w:instrText>
            </w:r>
            <w:r>
              <w:rPr>
                <w:noProof/>
                <w:webHidden/>
              </w:rPr>
            </w:r>
            <w:r>
              <w:rPr>
                <w:noProof/>
                <w:webHidden/>
              </w:rPr>
              <w:fldChar w:fldCharType="separate"/>
            </w:r>
            <w:r w:rsidR="00BC04C2">
              <w:rPr>
                <w:noProof/>
                <w:webHidden/>
              </w:rPr>
              <w:t>5</w:t>
            </w:r>
            <w:r>
              <w:rPr>
                <w:noProof/>
                <w:webHidden/>
              </w:rPr>
              <w:fldChar w:fldCharType="end"/>
            </w:r>
          </w:hyperlink>
        </w:p>
        <w:p w14:paraId="74D90953" w14:textId="15B211FF"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43" w:history="1">
            <w:r w:rsidRPr="00C33226">
              <w:rPr>
                <w:rStyle w:val="Hyperlink"/>
                <w:rFonts w:ascii="Tahoma" w:eastAsia="標楷體" w:hAnsi="Tahoma" w:cs="Tahoma"/>
                <w:b/>
                <w:bCs/>
                <w:noProof/>
              </w:rPr>
              <w:t>Article  2</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bCs/>
                <w:noProof/>
              </w:rPr>
              <w:t>Reference</w:t>
            </w:r>
            <w:r>
              <w:rPr>
                <w:noProof/>
                <w:webHidden/>
              </w:rPr>
              <w:tab/>
            </w:r>
            <w:r>
              <w:rPr>
                <w:noProof/>
                <w:webHidden/>
              </w:rPr>
              <w:fldChar w:fldCharType="begin"/>
            </w:r>
            <w:r>
              <w:rPr>
                <w:noProof/>
                <w:webHidden/>
              </w:rPr>
              <w:instrText xml:space="preserve"> PAGEREF _Toc142484943 \h </w:instrText>
            </w:r>
            <w:r>
              <w:rPr>
                <w:noProof/>
                <w:webHidden/>
              </w:rPr>
            </w:r>
            <w:r>
              <w:rPr>
                <w:noProof/>
                <w:webHidden/>
              </w:rPr>
              <w:fldChar w:fldCharType="separate"/>
            </w:r>
            <w:r w:rsidR="00BC04C2">
              <w:rPr>
                <w:noProof/>
                <w:webHidden/>
              </w:rPr>
              <w:t>5</w:t>
            </w:r>
            <w:r>
              <w:rPr>
                <w:noProof/>
                <w:webHidden/>
              </w:rPr>
              <w:fldChar w:fldCharType="end"/>
            </w:r>
          </w:hyperlink>
        </w:p>
        <w:p w14:paraId="4547B1E8" w14:textId="3B467296"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44" w:history="1">
            <w:r w:rsidRPr="00C33226">
              <w:rPr>
                <w:rStyle w:val="Hyperlink"/>
                <w:rFonts w:ascii="Tahoma" w:eastAsia="標楷體" w:hAnsi="Tahoma" w:cs="Tahoma"/>
                <w:b/>
                <w:bCs/>
                <w:noProof/>
              </w:rPr>
              <w:t>Article  3</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bCs/>
                <w:noProof/>
              </w:rPr>
              <w:t>Elements of policies and procedures</w:t>
            </w:r>
            <w:r>
              <w:rPr>
                <w:noProof/>
                <w:webHidden/>
              </w:rPr>
              <w:tab/>
            </w:r>
            <w:r>
              <w:rPr>
                <w:noProof/>
                <w:webHidden/>
              </w:rPr>
              <w:fldChar w:fldCharType="begin"/>
            </w:r>
            <w:r>
              <w:rPr>
                <w:noProof/>
                <w:webHidden/>
              </w:rPr>
              <w:instrText xml:space="preserve"> PAGEREF _Toc142484944 \h </w:instrText>
            </w:r>
            <w:r>
              <w:rPr>
                <w:noProof/>
                <w:webHidden/>
              </w:rPr>
            </w:r>
            <w:r>
              <w:rPr>
                <w:noProof/>
                <w:webHidden/>
              </w:rPr>
              <w:fldChar w:fldCharType="separate"/>
            </w:r>
            <w:r w:rsidR="00BC04C2">
              <w:rPr>
                <w:noProof/>
                <w:webHidden/>
              </w:rPr>
              <w:t>5</w:t>
            </w:r>
            <w:r>
              <w:rPr>
                <w:noProof/>
                <w:webHidden/>
              </w:rPr>
              <w:fldChar w:fldCharType="end"/>
            </w:r>
          </w:hyperlink>
        </w:p>
        <w:p w14:paraId="6A80FBC1" w14:textId="4D23341B"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45" w:history="1">
            <w:r w:rsidRPr="00C33226">
              <w:rPr>
                <w:rStyle w:val="Hyperlink"/>
                <w:rFonts w:ascii="Tahoma" w:eastAsia="標楷體" w:hAnsi="Tahoma" w:cs="Tahoma"/>
                <w:b/>
                <w:bCs/>
                <w:noProof/>
                <w:kern w:val="0"/>
              </w:rPr>
              <w:t>Article  4</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bCs/>
                <w:noProof/>
                <w:lang w:eastAsia="zh-HK"/>
              </w:rPr>
              <w:t>Overall risk assessment</w:t>
            </w:r>
            <w:r>
              <w:rPr>
                <w:noProof/>
                <w:webHidden/>
              </w:rPr>
              <w:tab/>
            </w:r>
            <w:r>
              <w:rPr>
                <w:noProof/>
                <w:webHidden/>
              </w:rPr>
              <w:fldChar w:fldCharType="begin"/>
            </w:r>
            <w:r>
              <w:rPr>
                <w:noProof/>
                <w:webHidden/>
              </w:rPr>
              <w:instrText xml:space="preserve"> PAGEREF _Toc142484945 \h </w:instrText>
            </w:r>
            <w:r>
              <w:rPr>
                <w:noProof/>
                <w:webHidden/>
              </w:rPr>
            </w:r>
            <w:r>
              <w:rPr>
                <w:noProof/>
                <w:webHidden/>
              </w:rPr>
              <w:fldChar w:fldCharType="separate"/>
            </w:r>
            <w:r w:rsidR="00BC04C2">
              <w:rPr>
                <w:noProof/>
                <w:webHidden/>
              </w:rPr>
              <w:t>6</w:t>
            </w:r>
            <w:r>
              <w:rPr>
                <w:noProof/>
                <w:webHidden/>
              </w:rPr>
              <w:fldChar w:fldCharType="end"/>
            </w:r>
          </w:hyperlink>
        </w:p>
        <w:p w14:paraId="7146F938" w14:textId="4D73E9C9"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46" w:history="1">
            <w:r w:rsidRPr="00C33226">
              <w:rPr>
                <w:rStyle w:val="Hyperlink"/>
                <w:rFonts w:ascii="Tahoma" w:eastAsia="標楷體" w:hAnsi="Tahoma" w:cs="Tahoma"/>
                <w:b/>
                <w:bCs/>
                <w:noProof/>
              </w:rPr>
              <w:t>Article  5</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bCs/>
                <w:noProof/>
              </w:rPr>
              <w:t>Definitions:</w:t>
            </w:r>
            <w:r>
              <w:rPr>
                <w:noProof/>
                <w:webHidden/>
              </w:rPr>
              <w:tab/>
            </w:r>
            <w:r>
              <w:rPr>
                <w:noProof/>
                <w:webHidden/>
              </w:rPr>
              <w:fldChar w:fldCharType="begin"/>
            </w:r>
            <w:r>
              <w:rPr>
                <w:noProof/>
                <w:webHidden/>
              </w:rPr>
              <w:instrText xml:space="preserve"> PAGEREF _Toc142484946 \h </w:instrText>
            </w:r>
            <w:r>
              <w:rPr>
                <w:noProof/>
                <w:webHidden/>
              </w:rPr>
            </w:r>
            <w:r>
              <w:rPr>
                <w:noProof/>
                <w:webHidden/>
              </w:rPr>
              <w:fldChar w:fldCharType="separate"/>
            </w:r>
            <w:r w:rsidR="00BC04C2">
              <w:rPr>
                <w:noProof/>
                <w:webHidden/>
              </w:rPr>
              <w:t>6</w:t>
            </w:r>
            <w:r>
              <w:rPr>
                <w:noProof/>
                <w:webHidden/>
              </w:rPr>
              <w:fldChar w:fldCharType="end"/>
            </w:r>
          </w:hyperlink>
        </w:p>
        <w:p w14:paraId="4AD3DEF1" w14:textId="14CED087" w:rsidR="00EE74F6" w:rsidRDefault="00EE74F6">
          <w:pPr>
            <w:pStyle w:val="TOC1"/>
            <w:tabs>
              <w:tab w:val="right" w:leader="dot" w:pos="9060"/>
            </w:tabs>
            <w:rPr>
              <w:rFonts w:asciiTheme="minorHAnsi" w:eastAsiaTheme="minorEastAsia" w:hAnsiTheme="minorHAnsi" w:cstheme="minorBidi"/>
              <w:b w:val="0"/>
              <w:noProof/>
              <w:sz w:val="22"/>
              <w14:ligatures w14:val="standardContextual"/>
            </w:rPr>
          </w:pPr>
          <w:hyperlink w:anchor="_Toc142484947" w:history="1">
            <w:r w:rsidRPr="00C33226">
              <w:rPr>
                <w:rStyle w:val="Hyperlink"/>
                <w:rFonts w:ascii="Tahoma" w:eastAsia="標楷體" w:hAnsi="Tahoma" w:cs="Tahoma"/>
                <w:noProof/>
                <w:lang w:eastAsia="zh-HK"/>
              </w:rPr>
              <w:t>Chapter Two- Customer Acceptance Policy</w:t>
            </w:r>
            <w:r>
              <w:rPr>
                <w:noProof/>
                <w:webHidden/>
              </w:rPr>
              <w:tab/>
            </w:r>
            <w:r>
              <w:rPr>
                <w:noProof/>
                <w:webHidden/>
              </w:rPr>
              <w:fldChar w:fldCharType="begin"/>
            </w:r>
            <w:r>
              <w:rPr>
                <w:noProof/>
                <w:webHidden/>
              </w:rPr>
              <w:instrText xml:space="preserve"> PAGEREF _Toc142484947 \h </w:instrText>
            </w:r>
            <w:r>
              <w:rPr>
                <w:noProof/>
                <w:webHidden/>
              </w:rPr>
            </w:r>
            <w:r>
              <w:rPr>
                <w:noProof/>
                <w:webHidden/>
              </w:rPr>
              <w:fldChar w:fldCharType="separate"/>
            </w:r>
            <w:r w:rsidR="00BC04C2">
              <w:rPr>
                <w:noProof/>
                <w:webHidden/>
              </w:rPr>
              <w:t>7</w:t>
            </w:r>
            <w:r>
              <w:rPr>
                <w:noProof/>
                <w:webHidden/>
              </w:rPr>
              <w:fldChar w:fldCharType="end"/>
            </w:r>
          </w:hyperlink>
        </w:p>
        <w:p w14:paraId="3D1C984C" w14:textId="10EEF3E3"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48" w:history="1">
            <w:r w:rsidRPr="00C33226">
              <w:rPr>
                <w:rStyle w:val="Hyperlink"/>
                <w:rFonts w:ascii="Tahoma" w:eastAsia="標楷體" w:hAnsi="Tahoma" w:cs="Tahoma"/>
                <w:b/>
                <w:bCs/>
                <w:noProof/>
              </w:rPr>
              <w:t>Article  6</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bCs/>
                <w:noProof/>
              </w:rPr>
              <w:t>Conditions to refuse</w:t>
            </w:r>
            <w:r>
              <w:rPr>
                <w:noProof/>
                <w:webHidden/>
              </w:rPr>
              <w:tab/>
            </w:r>
            <w:r>
              <w:rPr>
                <w:noProof/>
                <w:webHidden/>
              </w:rPr>
              <w:fldChar w:fldCharType="begin"/>
            </w:r>
            <w:r>
              <w:rPr>
                <w:noProof/>
                <w:webHidden/>
              </w:rPr>
              <w:instrText xml:space="preserve"> PAGEREF _Toc142484948 \h </w:instrText>
            </w:r>
            <w:r>
              <w:rPr>
                <w:noProof/>
                <w:webHidden/>
              </w:rPr>
            </w:r>
            <w:r>
              <w:rPr>
                <w:noProof/>
                <w:webHidden/>
              </w:rPr>
              <w:fldChar w:fldCharType="separate"/>
            </w:r>
            <w:r w:rsidR="00BC04C2">
              <w:rPr>
                <w:noProof/>
                <w:webHidden/>
              </w:rPr>
              <w:t>7</w:t>
            </w:r>
            <w:r>
              <w:rPr>
                <w:noProof/>
                <w:webHidden/>
              </w:rPr>
              <w:fldChar w:fldCharType="end"/>
            </w:r>
          </w:hyperlink>
        </w:p>
        <w:p w14:paraId="0D0B5FCC" w14:textId="6C0C7895"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49" w:history="1">
            <w:r w:rsidRPr="00C33226">
              <w:rPr>
                <w:rStyle w:val="Hyperlink"/>
                <w:rFonts w:ascii="Tahoma" w:eastAsia="標楷體" w:hAnsi="Tahoma" w:cs="Tahoma"/>
                <w:b/>
                <w:bCs/>
                <w:noProof/>
              </w:rPr>
              <w:t>Article  7</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bCs/>
                <w:noProof/>
              </w:rPr>
              <w:t>Face to Face</w:t>
            </w:r>
            <w:r>
              <w:rPr>
                <w:noProof/>
                <w:webHidden/>
              </w:rPr>
              <w:tab/>
            </w:r>
            <w:r>
              <w:rPr>
                <w:noProof/>
                <w:webHidden/>
              </w:rPr>
              <w:fldChar w:fldCharType="begin"/>
            </w:r>
            <w:r>
              <w:rPr>
                <w:noProof/>
                <w:webHidden/>
              </w:rPr>
              <w:instrText xml:space="preserve"> PAGEREF _Toc142484949 \h </w:instrText>
            </w:r>
            <w:r>
              <w:rPr>
                <w:noProof/>
                <w:webHidden/>
              </w:rPr>
            </w:r>
            <w:r>
              <w:rPr>
                <w:noProof/>
                <w:webHidden/>
              </w:rPr>
              <w:fldChar w:fldCharType="separate"/>
            </w:r>
            <w:r w:rsidR="00BC04C2">
              <w:rPr>
                <w:noProof/>
                <w:webHidden/>
              </w:rPr>
              <w:t>8</w:t>
            </w:r>
            <w:r>
              <w:rPr>
                <w:noProof/>
                <w:webHidden/>
              </w:rPr>
              <w:fldChar w:fldCharType="end"/>
            </w:r>
          </w:hyperlink>
        </w:p>
        <w:p w14:paraId="0866D3D4" w14:textId="4687591C"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50" w:history="1">
            <w:r w:rsidRPr="00C33226">
              <w:rPr>
                <w:rStyle w:val="Hyperlink"/>
                <w:rFonts w:ascii="Tahoma" w:eastAsia="標楷體" w:hAnsi="Tahoma" w:cs="Tahoma"/>
                <w:b/>
                <w:noProof/>
              </w:rPr>
              <w:t>Article  8</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The services that UTB does not provide</w:t>
            </w:r>
            <w:r>
              <w:rPr>
                <w:noProof/>
                <w:webHidden/>
              </w:rPr>
              <w:tab/>
            </w:r>
            <w:r>
              <w:rPr>
                <w:noProof/>
                <w:webHidden/>
              </w:rPr>
              <w:fldChar w:fldCharType="begin"/>
            </w:r>
            <w:r>
              <w:rPr>
                <w:noProof/>
                <w:webHidden/>
              </w:rPr>
              <w:instrText xml:space="preserve"> PAGEREF _Toc142484950 \h </w:instrText>
            </w:r>
            <w:r>
              <w:rPr>
                <w:noProof/>
                <w:webHidden/>
              </w:rPr>
            </w:r>
            <w:r>
              <w:rPr>
                <w:noProof/>
                <w:webHidden/>
              </w:rPr>
              <w:fldChar w:fldCharType="separate"/>
            </w:r>
            <w:r w:rsidR="00BC04C2">
              <w:rPr>
                <w:noProof/>
                <w:webHidden/>
              </w:rPr>
              <w:t>8</w:t>
            </w:r>
            <w:r>
              <w:rPr>
                <w:noProof/>
                <w:webHidden/>
              </w:rPr>
              <w:fldChar w:fldCharType="end"/>
            </w:r>
          </w:hyperlink>
        </w:p>
        <w:p w14:paraId="6BD920C3" w14:textId="2D289471"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51" w:history="1">
            <w:r w:rsidRPr="00C33226">
              <w:rPr>
                <w:rStyle w:val="Hyperlink"/>
                <w:rFonts w:ascii="Tahoma" w:eastAsia="標楷體" w:hAnsi="Tahoma" w:cs="Tahoma"/>
                <w:b/>
                <w:noProof/>
              </w:rPr>
              <w:t>Article  9</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Customer identity verification procedure finished first</w:t>
            </w:r>
            <w:r>
              <w:rPr>
                <w:noProof/>
                <w:webHidden/>
              </w:rPr>
              <w:tab/>
            </w:r>
            <w:r>
              <w:rPr>
                <w:noProof/>
                <w:webHidden/>
              </w:rPr>
              <w:fldChar w:fldCharType="begin"/>
            </w:r>
            <w:r>
              <w:rPr>
                <w:noProof/>
                <w:webHidden/>
              </w:rPr>
              <w:instrText xml:space="preserve"> PAGEREF _Toc142484951 \h </w:instrText>
            </w:r>
            <w:r>
              <w:rPr>
                <w:noProof/>
                <w:webHidden/>
              </w:rPr>
            </w:r>
            <w:r>
              <w:rPr>
                <w:noProof/>
                <w:webHidden/>
              </w:rPr>
              <w:fldChar w:fldCharType="separate"/>
            </w:r>
            <w:r w:rsidR="00BC04C2">
              <w:rPr>
                <w:noProof/>
                <w:webHidden/>
              </w:rPr>
              <w:t>8</w:t>
            </w:r>
            <w:r>
              <w:rPr>
                <w:noProof/>
                <w:webHidden/>
              </w:rPr>
              <w:fldChar w:fldCharType="end"/>
            </w:r>
          </w:hyperlink>
        </w:p>
        <w:p w14:paraId="03CAD440" w14:textId="3660BD8B"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52" w:history="1">
            <w:r w:rsidRPr="00C33226">
              <w:rPr>
                <w:rStyle w:val="Hyperlink"/>
                <w:rFonts w:ascii="Tahoma" w:eastAsia="標楷體" w:hAnsi="Tahoma" w:cs="Tahoma"/>
                <w:b/>
                <w:noProof/>
              </w:rPr>
              <w:t>Article  10</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Third-party services</w:t>
            </w:r>
            <w:r>
              <w:rPr>
                <w:noProof/>
                <w:webHidden/>
              </w:rPr>
              <w:tab/>
            </w:r>
            <w:r>
              <w:rPr>
                <w:noProof/>
                <w:webHidden/>
              </w:rPr>
              <w:fldChar w:fldCharType="begin"/>
            </w:r>
            <w:r>
              <w:rPr>
                <w:noProof/>
                <w:webHidden/>
              </w:rPr>
              <w:instrText xml:space="preserve"> PAGEREF _Toc142484952 \h </w:instrText>
            </w:r>
            <w:r>
              <w:rPr>
                <w:noProof/>
                <w:webHidden/>
              </w:rPr>
            </w:r>
            <w:r>
              <w:rPr>
                <w:noProof/>
                <w:webHidden/>
              </w:rPr>
              <w:fldChar w:fldCharType="separate"/>
            </w:r>
            <w:r w:rsidR="00BC04C2">
              <w:rPr>
                <w:noProof/>
                <w:webHidden/>
              </w:rPr>
              <w:t>8</w:t>
            </w:r>
            <w:r>
              <w:rPr>
                <w:noProof/>
                <w:webHidden/>
              </w:rPr>
              <w:fldChar w:fldCharType="end"/>
            </w:r>
          </w:hyperlink>
        </w:p>
        <w:p w14:paraId="173D5506" w14:textId="17ACE426"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53" w:history="1">
            <w:r w:rsidRPr="00C33226">
              <w:rPr>
                <w:rStyle w:val="Hyperlink"/>
                <w:rFonts w:ascii="Tahoma" w:eastAsia="標楷體" w:hAnsi="Tahoma" w:cs="Tahoma"/>
                <w:b/>
                <w:noProof/>
              </w:rPr>
              <w:t>Article  11</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Prohibition and exemption</w:t>
            </w:r>
            <w:r>
              <w:rPr>
                <w:noProof/>
                <w:webHidden/>
              </w:rPr>
              <w:tab/>
            </w:r>
            <w:r>
              <w:rPr>
                <w:noProof/>
                <w:webHidden/>
              </w:rPr>
              <w:fldChar w:fldCharType="begin"/>
            </w:r>
            <w:r>
              <w:rPr>
                <w:noProof/>
                <w:webHidden/>
              </w:rPr>
              <w:instrText xml:space="preserve"> PAGEREF _Toc142484953 \h </w:instrText>
            </w:r>
            <w:r>
              <w:rPr>
                <w:noProof/>
                <w:webHidden/>
              </w:rPr>
            </w:r>
            <w:r>
              <w:rPr>
                <w:noProof/>
                <w:webHidden/>
              </w:rPr>
              <w:fldChar w:fldCharType="separate"/>
            </w:r>
            <w:r w:rsidR="00BC04C2">
              <w:rPr>
                <w:noProof/>
                <w:webHidden/>
              </w:rPr>
              <w:t>8</w:t>
            </w:r>
            <w:r>
              <w:rPr>
                <w:noProof/>
                <w:webHidden/>
              </w:rPr>
              <w:fldChar w:fldCharType="end"/>
            </w:r>
          </w:hyperlink>
        </w:p>
        <w:p w14:paraId="26F37C61" w14:textId="0410A2BC"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54" w:history="1">
            <w:r w:rsidRPr="00C33226">
              <w:rPr>
                <w:rStyle w:val="Hyperlink"/>
                <w:rFonts w:ascii="Tahoma" w:eastAsia="標楷體" w:hAnsi="Tahoma" w:cs="Tahoma"/>
                <w:b/>
                <w:noProof/>
              </w:rPr>
              <w:t>Article  12</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Three Risk Level</w:t>
            </w:r>
            <w:r>
              <w:rPr>
                <w:noProof/>
                <w:webHidden/>
              </w:rPr>
              <w:tab/>
            </w:r>
            <w:r>
              <w:rPr>
                <w:noProof/>
                <w:webHidden/>
              </w:rPr>
              <w:fldChar w:fldCharType="begin"/>
            </w:r>
            <w:r>
              <w:rPr>
                <w:noProof/>
                <w:webHidden/>
              </w:rPr>
              <w:instrText xml:space="preserve"> PAGEREF _Toc142484954 \h </w:instrText>
            </w:r>
            <w:r>
              <w:rPr>
                <w:noProof/>
                <w:webHidden/>
              </w:rPr>
            </w:r>
            <w:r>
              <w:rPr>
                <w:noProof/>
                <w:webHidden/>
              </w:rPr>
              <w:fldChar w:fldCharType="separate"/>
            </w:r>
            <w:r w:rsidR="00BC04C2">
              <w:rPr>
                <w:noProof/>
                <w:webHidden/>
              </w:rPr>
              <w:t>8</w:t>
            </w:r>
            <w:r>
              <w:rPr>
                <w:noProof/>
                <w:webHidden/>
              </w:rPr>
              <w:fldChar w:fldCharType="end"/>
            </w:r>
          </w:hyperlink>
        </w:p>
        <w:p w14:paraId="65F76DBA" w14:textId="6261C01B" w:rsidR="00EE74F6" w:rsidRDefault="00EE74F6">
          <w:pPr>
            <w:pStyle w:val="TOC1"/>
            <w:tabs>
              <w:tab w:val="right" w:leader="dot" w:pos="9060"/>
            </w:tabs>
            <w:rPr>
              <w:rFonts w:asciiTheme="minorHAnsi" w:eastAsiaTheme="minorEastAsia" w:hAnsiTheme="minorHAnsi" w:cstheme="minorBidi"/>
              <w:b w:val="0"/>
              <w:noProof/>
              <w:sz w:val="22"/>
              <w14:ligatures w14:val="standardContextual"/>
            </w:rPr>
          </w:pPr>
          <w:hyperlink w:anchor="_Toc142484955" w:history="1">
            <w:r w:rsidRPr="00C33226">
              <w:rPr>
                <w:rStyle w:val="Hyperlink"/>
                <w:rFonts w:ascii="Tahoma" w:eastAsia="標楷體" w:hAnsi="Tahoma" w:cs="Tahoma"/>
                <w:noProof/>
              </w:rPr>
              <w:t xml:space="preserve">Chapter Three- </w:t>
            </w:r>
            <w:r w:rsidRPr="00C33226">
              <w:rPr>
                <w:rStyle w:val="Hyperlink"/>
                <w:rFonts w:ascii="Tahoma" w:eastAsia="標楷體" w:hAnsi="Tahoma" w:cs="Tahoma"/>
                <w:noProof/>
                <w:lang w:eastAsia="zh-HK"/>
              </w:rPr>
              <w:t>Identification and Verification of Customer Identity</w:t>
            </w:r>
            <w:r>
              <w:rPr>
                <w:noProof/>
                <w:webHidden/>
              </w:rPr>
              <w:tab/>
            </w:r>
            <w:r>
              <w:rPr>
                <w:noProof/>
                <w:webHidden/>
              </w:rPr>
              <w:fldChar w:fldCharType="begin"/>
            </w:r>
            <w:r>
              <w:rPr>
                <w:noProof/>
                <w:webHidden/>
              </w:rPr>
              <w:instrText xml:space="preserve"> PAGEREF _Toc142484955 \h </w:instrText>
            </w:r>
            <w:r>
              <w:rPr>
                <w:noProof/>
                <w:webHidden/>
              </w:rPr>
            </w:r>
            <w:r>
              <w:rPr>
                <w:noProof/>
                <w:webHidden/>
              </w:rPr>
              <w:fldChar w:fldCharType="separate"/>
            </w:r>
            <w:r w:rsidR="00BC04C2">
              <w:rPr>
                <w:noProof/>
                <w:webHidden/>
              </w:rPr>
              <w:t>9</w:t>
            </w:r>
            <w:r>
              <w:rPr>
                <w:noProof/>
                <w:webHidden/>
              </w:rPr>
              <w:fldChar w:fldCharType="end"/>
            </w:r>
          </w:hyperlink>
        </w:p>
        <w:p w14:paraId="60396644" w14:textId="1F615977"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56" w:history="1">
            <w:r w:rsidRPr="00C33226">
              <w:rPr>
                <w:rStyle w:val="Hyperlink"/>
                <w:rFonts w:ascii="Tahoma" w:eastAsia="標楷體" w:hAnsi="Tahoma" w:cs="Tahoma"/>
                <w:b/>
                <w:noProof/>
              </w:rPr>
              <w:t>Article  13</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Timing to conduct CDD</w:t>
            </w:r>
            <w:r>
              <w:rPr>
                <w:noProof/>
                <w:webHidden/>
              </w:rPr>
              <w:tab/>
            </w:r>
            <w:r>
              <w:rPr>
                <w:noProof/>
                <w:webHidden/>
              </w:rPr>
              <w:fldChar w:fldCharType="begin"/>
            </w:r>
            <w:r>
              <w:rPr>
                <w:noProof/>
                <w:webHidden/>
              </w:rPr>
              <w:instrText xml:space="preserve"> PAGEREF _Toc142484956 \h </w:instrText>
            </w:r>
            <w:r>
              <w:rPr>
                <w:noProof/>
                <w:webHidden/>
              </w:rPr>
            </w:r>
            <w:r>
              <w:rPr>
                <w:noProof/>
                <w:webHidden/>
              </w:rPr>
              <w:fldChar w:fldCharType="separate"/>
            </w:r>
            <w:r w:rsidR="00BC04C2">
              <w:rPr>
                <w:noProof/>
                <w:webHidden/>
              </w:rPr>
              <w:t>9</w:t>
            </w:r>
            <w:r>
              <w:rPr>
                <w:noProof/>
                <w:webHidden/>
              </w:rPr>
              <w:fldChar w:fldCharType="end"/>
            </w:r>
          </w:hyperlink>
        </w:p>
        <w:p w14:paraId="1515158C" w14:textId="697BB8EE"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57" w:history="1">
            <w:r w:rsidRPr="00C33226">
              <w:rPr>
                <w:rStyle w:val="Hyperlink"/>
                <w:rFonts w:ascii="Tahoma" w:eastAsia="標楷體" w:hAnsi="Tahoma" w:cs="Tahoma"/>
                <w:b/>
                <w:noProof/>
              </w:rPr>
              <w:t>Article  14</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Contents of CDD</w:t>
            </w:r>
            <w:r>
              <w:rPr>
                <w:noProof/>
                <w:webHidden/>
              </w:rPr>
              <w:tab/>
            </w:r>
            <w:r>
              <w:rPr>
                <w:noProof/>
                <w:webHidden/>
              </w:rPr>
              <w:fldChar w:fldCharType="begin"/>
            </w:r>
            <w:r>
              <w:rPr>
                <w:noProof/>
                <w:webHidden/>
              </w:rPr>
              <w:instrText xml:space="preserve"> PAGEREF _Toc142484957 \h </w:instrText>
            </w:r>
            <w:r>
              <w:rPr>
                <w:noProof/>
                <w:webHidden/>
              </w:rPr>
            </w:r>
            <w:r>
              <w:rPr>
                <w:noProof/>
                <w:webHidden/>
              </w:rPr>
              <w:fldChar w:fldCharType="separate"/>
            </w:r>
            <w:r w:rsidR="00BC04C2">
              <w:rPr>
                <w:noProof/>
                <w:webHidden/>
              </w:rPr>
              <w:t>10</w:t>
            </w:r>
            <w:r>
              <w:rPr>
                <w:noProof/>
                <w:webHidden/>
              </w:rPr>
              <w:fldChar w:fldCharType="end"/>
            </w:r>
          </w:hyperlink>
        </w:p>
        <w:p w14:paraId="64E86357" w14:textId="2142FC86"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58" w:history="1">
            <w:r w:rsidRPr="00C33226">
              <w:rPr>
                <w:rStyle w:val="Hyperlink"/>
                <w:rFonts w:ascii="Tahoma" w:eastAsia="標楷體" w:hAnsi="Tahoma" w:cs="Tahoma"/>
                <w:b/>
                <w:noProof/>
              </w:rPr>
              <w:t>Article  15</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Identification and Verification</w:t>
            </w:r>
            <w:r>
              <w:rPr>
                <w:noProof/>
                <w:webHidden/>
              </w:rPr>
              <w:tab/>
            </w:r>
            <w:r>
              <w:rPr>
                <w:noProof/>
                <w:webHidden/>
              </w:rPr>
              <w:fldChar w:fldCharType="begin"/>
            </w:r>
            <w:r>
              <w:rPr>
                <w:noProof/>
                <w:webHidden/>
              </w:rPr>
              <w:instrText xml:space="preserve"> PAGEREF _Toc142484958 \h </w:instrText>
            </w:r>
            <w:r>
              <w:rPr>
                <w:noProof/>
                <w:webHidden/>
              </w:rPr>
            </w:r>
            <w:r>
              <w:rPr>
                <w:noProof/>
                <w:webHidden/>
              </w:rPr>
              <w:fldChar w:fldCharType="separate"/>
            </w:r>
            <w:r w:rsidR="00BC04C2">
              <w:rPr>
                <w:noProof/>
                <w:webHidden/>
              </w:rPr>
              <w:t>10</w:t>
            </w:r>
            <w:r>
              <w:rPr>
                <w:noProof/>
                <w:webHidden/>
              </w:rPr>
              <w:fldChar w:fldCharType="end"/>
            </w:r>
          </w:hyperlink>
        </w:p>
        <w:p w14:paraId="4237E562" w14:textId="6D9F228A" w:rsidR="00EE74F6" w:rsidRDefault="00EE74F6">
          <w:pPr>
            <w:pStyle w:val="TOC1"/>
            <w:tabs>
              <w:tab w:val="right" w:leader="dot" w:pos="9060"/>
            </w:tabs>
            <w:rPr>
              <w:rFonts w:asciiTheme="minorHAnsi" w:eastAsiaTheme="minorEastAsia" w:hAnsiTheme="minorHAnsi" w:cstheme="minorBidi"/>
              <w:b w:val="0"/>
              <w:noProof/>
              <w:sz w:val="22"/>
              <w14:ligatures w14:val="standardContextual"/>
            </w:rPr>
          </w:pPr>
          <w:hyperlink w:anchor="_Toc142484959" w:history="1">
            <w:r w:rsidRPr="00C33226">
              <w:rPr>
                <w:rStyle w:val="Hyperlink"/>
                <w:rFonts w:ascii="Tahoma" w:eastAsia="標楷體" w:hAnsi="Tahoma" w:cs="Tahoma"/>
                <w:noProof/>
              </w:rPr>
              <w:t>Chapter Four</w:t>
            </w:r>
            <w:r w:rsidRPr="00C33226">
              <w:rPr>
                <w:rStyle w:val="Hyperlink"/>
                <w:rFonts w:ascii="Tahoma" w:eastAsia="標楷體" w:hAnsi="Tahoma" w:cs="Tahoma" w:hint="eastAsia"/>
                <w:noProof/>
              </w:rPr>
              <w:t>－</w:t>
            </w:r>
            <w:r w:rsidRPr="00C33226">
              <w:rPr>
                <w:rStyle w:val="Hyperlink"/>
                <w:rFonts w:ascii="Tahoma" w:eastAsia="標楷體" w:hAnsi="Tahoma" w:cs="Tahoma"/>
                <w:noProof/>
                <w:kern w:val="0"/>
              </w:rPr>
              <w:t>Ongoing monitoring measures</w:t>
            </w:r>
            <w:r>
              <w:rPr>
                <w:noProof/>
                <w:webHidden/>
              </w:rPr>
              <w:tab/>
            </w:r>
            <w:r>
              <w:rPr>
                <w:noProof/>
                <w:webHidden/>
              </w:rPr>
              <w:fldChar w:fldCharType="begin"/>
            </w:r>
            <w:r>
              <w:rPr>
                <w:noProof/>
                <w:webHidden/>
              </w:rPr>
              <w:instrText xml:space="preserve"> PAGEREF _Toc142484959 \h </w:instrText>
            </w:r>
            <w:r>
              <w:rPr>
                <w:noProof/>
                <w:webHidden/>
              </w:rPr>
            </w:r>
            <w:r>
              <w:rPr>
                <w:noProof/>
                <w:webHidden/>
              </w:rPr>
              <w:fldChar w:fldCharType="separate"/>
            </w:r>
            <w:r w:rsidR="00BC04C2">
              <w:rPr>
                <w:noProof/>
                <w:webHidden/>
              </w:rPr>
              <w:t>12</w:t>
            </w:r>
            <w:r>
              <w:rPr>
                <w:noProof/>
                <w:webHidden/>
              </w:rPr>
              <w:fldChar w:fldCharType="end"/>
            </w:r>
          </w:hyperlink>
        </w:p>
        <w:p w14:paraId="7567C634" w14:textId="60B46E51"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60" w:history="1">
            <w:r w:rsidRPr="00C33226">
              <w:rPr>
                <w:rStyle w:val="Hyperlink"/>
                <w:rFonts w:ascii="Tahoma" w:eastAsia="標楷體" w:hAnsi="Tahoma" w:cs="Tahoma"/>
                <w:b/>
                <w:noProof/>
              </w:rPr>
              <w:t>Article  16</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Ongoing CDD</w:t>
            </w:r>
            <w:r>
              <w:rPr>
                <w:noProof/>
                <w:webHidden/>
              </w:rPr>
              <w:tab/>
            </w:r>
            <w:r>
              <w:rPr>
                <w:noProof/>
                <w:webHidden/>
              </w:rPr>
              <w:fldChar w:fldCharType="begin"/>
            </w:r>
            <w:r>
              <w:rPr>
                <w:noProof/>
                <w:webHidden/>
              </w:rPr>
              <w:instrText xml:space="preserve"> PAGEREF _Toc142484960 \h </w:instrText>
            </w:r>
            <w:r>
              <w:rPr>
                <w:noProof/>
                <w:webHidden/>
              </w:rPr>
            </w:r>
            <w:r>
              <w:rPr>
                <w:noProof/>
                <w:webHidden/>
              </w:rPr>
              <w:fldChar w:fldCharType="separate"/>
            </w:r>
            <w:r w:rsidR="00BC04C2">
              <w:rPr>
                <w:noProof/>
                <w:webHidden/>
              </w:rPr>
              <w:t>12</w:t>
            </w:r>
            <w:r>
              <w:rPr>
                <w:noProof/>
                <w:webHidden/>
              </w:rPr>
              <w:fldChar w:fldCharType="end"/>
            </w:r>
          </w:hyperlink>
        </w:p>
        <w:p w14:paraId="292B9E6C" w14:textId="60D80400"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61" w:history="1">
            <w:r w:rsidRPr="00C33226">
              <w:rPr>
                <w:rStyle w:val="Hyperlink"/>
                <w:rFonts w:ascii="Tahoma" w:eastAsia="標楷體" w:hAnsi="Tahoma" w:cs="Tahoma"/>
                <w:b/>
                <w:noProof/>
              </w:rPr>
              <w:t>Article  17</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For high-risk profile customer</w:t>
            </w:r>
            <w:r>
              <w:rPr>
                <w:noProof/>
                <w:webHidden/>
              </w:rPr>
              <w:tab/>
            </w:r>
            <w:r>
              <w:rPr>
                <w:noProof/>
                <w:webHidden/>
              </w:rPr>
              <w:fldChar w:fldCharType="begin"/>
            </w:r>
            <w:r>
              <w:rPr>
                <w:noProof/>
                <w:webHidden/>
              </w:rPr>
              <w:instrText xml:space="preserve"> PAGEREF _Toc142484961 \h </w:instrText>
            </w:r>
            <w:r>
              <w:rPr>
                <w:noProof/>
                <w:webHidden/>
              </w:rPr>
            </w:r>
            <w:r>
              <w:rPr>
                <w:noProof/>
                <w:webHidden/>
              </w:rPr>
              <w:fldChar w:fldCharType="separate"/>
            </w:r>
            <w:r w:rsidR="00BC04C2">
              <w:rPr>
                <w:noProof/>
                <w:webHidden/>
              </w:rPr>
              <w:t>13</w:t>
            </w:r>
            <w:r>
              <w:rPr>
                <w:noProof/>
                <w:webHidden/>
              </w:rPr>
              <w:fldChar w:fldCharType="end"/>
            </w:r>
          </w:hyperlink>
        </w:p>
        <w:p w14:paraId="09694D82" w14:textId="5749A687"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62" w:history="1">
            <w:r w:rsidRPr="00C33226">
              <w:rPr>
                <w:rStyle w:val="Hyperlink"/>
                <w:rFonts w:ascii="Tahoma" w:eastAsia="標楷體" w:hAnsi="Tahoma" w:cs="Tahoma"/>
                <w:b/>
                <w:noProof/>
              </w:rPr>
              <w:t>Article  18</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Requirements of ongoing monitoring</w:t>
            </w:r>
            <w:r>
              <w:rPr>
                <w:noProof/>
                <w:webHidden/>
              </w:rPr>
              <w:tab/>
            </w:r>
            <w:r>
              <w:rPr>
                <w:noProof/>
                <w:webHidden/>
              </w:rPr>
              <w:fldChar w:fldCharType="begin"/>
            </w:r>
            <w:r>
              <w:rPr>
                <w:noProof/>
                <w:webHidden/>
              </w:rPr>
              <w:instrText xml:space="preserve"> PAGEREF _Toc142484962 \h </w:instrText>
            </w:r>
            <w:r>
              <w:rPr>
                <w:noProof/>
                <w:webHidden/>
              </w:rPr>
            </w:r>
            <w:r>
              <w:rPr>
                <w:noProof/>
                <w:webHidden/>
              </w:rPr>
              <w:fldChar w:fldCharType="separate"/>
            </w:r>
            <w:r w:rsidR="00BC04C2">
              <w:rPr>
                <w:noProof/>
                <w:webHidden/>
              </w:rPr>
              <w:t>13</w:t>
            </w:r>
            <w:r>
              <w:rPr>
                <w:noProof/>
                <w:webHidden/>
              </w:rPr>
              <w:fldChar w:fldCharType="end"/>
            </w:r>
          </w:hyperlink>
        </w:p>
        <w:p w14:paraId="27CF3784" w14:textId="2224A2EC"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63" w:history="1">
            <w:r w:rsidRPr="00C33226">
              <w:rPr>
                <w:rStyle w:val="Hyperlink"/>
                <w:rFonts w:ascii="Tahoma" w:eastAsia="標楷體" w:hAnsi="Tahoma" w:cs="Tahoma"/>
                <w:b/>
                <w:noProof/>
              </w:rPr>
              <w:t>Article  19</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Internal Procedures regarding ongoing monitoring</w:t>
            </w:r>
            <w:r>
              <w:rPr>
                <w:noProof/>
                <w:webHidden/>
              </w:rPr>
              <w:tab/>
            </w:r>
            <w:r>
              <w:rPr>
                <w:noProof/>
                <w:webHidden/>
              </w:rPr>
              <w:fldChar w:fldCharType="begin"/>
            </w:r>
            <w:r>
              <w:rPr>
                <w:noProof/>
                <w:webHidden/>
              </w:rPr>
              <w:instrText xml:space="preserve"> PAGEREF _Toc142484963 \h </w:instrText>
            </w:r>
            <w:r>
              <w:rPr>
                <w:noProof/>
                <w:webHidden/>
              </w:rPr>
            </w:r>
            <w:r>
              <w:rPr>
                <w:noProof/>
                <w:webHidden/>
              </w:rPr>
              <w:fldChar w:fldCharType="separate"/>
            </w:r>
            <w:r w:rsidR="00BC04C2">
              <w:rPr>
                <w:noProof/>
                <w:webHidden/>
              </w:rPr>
              <w:t>14</w:t>
            </w:r>
            <w:r>
              <w:rPr>
                <w:noProof/>
                <w:webHidden/>
              </w:rPr>
              <w:fldChar w:fldCharType="end"/>
            </w:r>
          </w:hyperlink>
        </w:p>
        <w:p w14:paraId="53917AC6" w14:textId="582054C2" w:rsidR="00EE74F6" w:rsidRDefault="00EE74F6">
          <w:pPr>
            <w:pStyle w:val="TOC1"/>
            <w:tabs>
              <w:tab w:val="right" w:leader="dot" w:pos="9060"/>
            </w:tabs>
            <w:rPr>
              <w:rFonts w:asciiTheme="minorHAnsi" w:eastAsiaTheme="minorEastAsia" w:hAnsiTheme="minorHAnsi" w:cstheme="minorBidi"/>
              <w:b w:val="0"/>
              <w:noProof/>
              <w:sz w:val="22"/>
              <w14:ligatures w14:val="standardContextual"/>
            </w:rPr>
          </w:pPr>
          <w:hyperlink w:anchor="_Toc142484964" w:history="1">
            <w:r w:rsidRPr="00C33226">
              <w:rPr>
                <w:rStyle w:val="Hyperlink"/>
                <w:rFonts w:ascii="Tahoma" w:eastAsia="標楷體" w:hAnsi="Tahoma" w:cs="Tahoma"/>
                <w:noProof/>
              </w:rPr>
              <w:t>Chapter Five- Others</w:t>
            </w:r>
            <w:r>
              <w:rPr>
                <w:noProof/>
                <w:webHidden/>
              </w:rPr>
              <w:tab/>
            </w:r>
            <w:r>
              <w:rPr>
                <w:noProof/>
                <w:webHidden/>
              </w:rPr>
              <w:fldChar w:fldCharType="begin"/>
            </w:r>
            <w:r>
              <w:rPr>
                <w:noProof/>
                <w:webHidden/>
              </w:rPr>
              <w:instrText xml:space="preserve"> PAGEREF _Toc142484964 \h </w:instrText>
            </w:r>
            <w:r>
              <w:rPr>
                <w:noProof/>
                <w:webHidden/>
              </w:rPr>
            </w:r>
            <w:r>
              <w:rPr>
                <w:noProof/>
                <w:webHidden/>
              </w:rPr>
              <w:fldChar w:fldCharType="separate"/>
            </w:r>
            <w:r w:rsidR="00BC04C2">
              <w:rPr>
                <w:noProof/>
                <w:webHidden/>
              </w:rPr>
              <w:t>15</w:t>
            </w:r>
            <w:r>
              <w:rPr>
                <w:noProof/>
                <w:webHidden/>
              </w:rPr>
              <w:fldChar w:fldCharType="end"/>
            </w:r>
          </w:hyperlink>
        </w:p>
        <w:p w14:paraId="0F1FE423" w14:textId="722E3224"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65" w:history="1">
            <w:r w:rsidRPr="00C33226">
              <w:rPr>
                <w:rStyle w:val="Hyperlink"/>
                <w:rFonts w:ascii="Tahoma" w:eastAsia="標楷體" w:hAnsi="Tahoma" w:cs="Tahoma"/>
                <w:b/>
                <w:noProof/>
              </w:rPr>
              <w:t>Article  20</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First-line monitoring</w:t>
            </w:r>
            <w:r>
              <w:rPr>
                <w:noProof/>
                <w:webHidden/>
              </w:rPr>
              <w:tab/>
            </w:r>
            <w:r>
              <w:rPr>
                <w:noProof/>
                <w:webHidden/>
              </w:rPr>
              <w:fldChar w:fldCharType="begin"/>
            </w:r>
            <w:r>
              <w:rPr>
                <w:noProof/>
                <w:webHidden/>
              </w:rPr>
              <w:instrText xml:space="preserve"> PAGEREF _Toc142484965 \h </w:instrText>
            </w:r>
            <w:r>
              <w:rPr>
                <w:noProof/>
                <w:webHidden/>
              </w:rPr>
            </w:r>
            <w:r>
              <w:rPr>
                <w:noProof/>
                <w:webHidden/>
              </w:rPr>
              <w:fldChar w:fldCharType="separate"/>
            </w:r>
            <w:r w:rsidR="00BC04C2">
              <w:rPr>
                <w:noProof/>
                <w:webHidden/>
              </w:rPr>
              <w:t>15</w:t>
            </w:r>
            <w:r>
              <w:rPr>
                <w:noProof/>
                <w:webHidden/>
              </w:rPr>
              <w:fldChar w:fldCharType="end"/>
            </w:r>
          </w:hyperlink>
        </w:p>
        <w:p w14:paraId="557FBCE6" w14:textId="39052526"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66" w:history="1">
            <w:r w:rsidRPr="00C33226">
              <w:rPr>
                <w:rStyle w:val="Hyperlink"/>
                <w:rFonts w:ascii="Tahoma" w:eastAsia="標楷體" w:hAnsi="Tahoma" w:cs="Tahoma"/>
                <w:b/>
                <w:noProof/>
              </w:rPr>
              <w:t>Article  21</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Reporting of a suspicious ML/TF transaction</w:t>
            </w:r>
            <w:r>
              <w:rPr>
                <w:noProof/>
                <w:webHidden/>
              </w:rPr>
              <w:tab/>
            </w:r>
            <w:r>
              <w:rPr>
                <w:noProof/>
                <w:webHidden/>
              </w:rPr>
              <w:fldChar w:fldCharType="begin"/>
            </w:r>
            <w:r>
              <w:rPr>
                <w:noProof/>
                <w:webHidden/>
              </w:rPr>
              <w:instrText xml:space="preserve"> PAGEREF _Toc142484966 \h </w:instrText>
            </w:r>
            <w:r>
              <w:rPr>
                <w:noProof/>
                <w:webHidden/>
              </w:rPr>
            </w:r>
            <w:r>
              <w:rPr>
                <w:noProof/>
                <w:webHidden/>
              </w:rPr>
              <w:fldChar w:fldCharType="separate"/>
            </w:r>
            <w:r w:rsidR="00BC04C2">
              <w:rPr>
                <w:noProof/>
                <w:webHidden/>
              </w:rPr>
              <w:t>15</w:t>
            </w:r>
            <w:r>
              <w:rPr>
                <w:noProof/>
                <w:webHidden/>
              </w:rPr>
              <w:fldChar w:fldCharType="end"/>
            </w:r>
          </w:hyperlink>
        </w:p>
        <w:p w14:paraId="207EA783" w14:textId="5BD9AEE4"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67" w:history="1">
            <w:r w:rsidRPr="00C33226">
              <w:rPr>
                <w:rStyle w:val="Hyperlink"/>
                <w:rFonts w:ascii="Tahoma" w:eastAsia="標楷體" w:hAnsi="Tahoma" w:cs="Tahoma"/>
                <w:b/>
                <w:noProof/>
              </w:rPr>
              <w:t>Article  22</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Reporting obligation</w:t>
            </w:r>
            <w:r>
              <w:rPr>
                <w:noProof/>
                <w:webHidden/>
              </w:rPr>
              <w:tab/>
            </w:r>
            <w:r>
              <w:rPr>
                <w:noProof/>
                <w:webHidden/>
              </w:rPr>
              <w:fldChar w:fldCharType="begin"/>
            </w:r>
            <w:r>
              <w:rPr>
                <w:noProof/>
                <w:webHidden/>
              </w:rPr>
              <w:instrText xml:space="preserve"> PAGEREF _Toc142484967 \h </w:instrText>
            </w:r>
            <w:r>
              <w:rPr>
                <w:noProof/>
                <w:webHidden/>
              </w:rPr>
            </w:r>
            <w:r>
              <w:rPr>
                <w:noProof/>
                <w:webHidden/>
              </w:rPr>
              <w:fldChar w:fldCharType="separate"/>
            </w:r>
            <w:r w:rsidR="00BC04C2">
              <w:rPr>
                <w:noProof/>
                <w:webHidden/>
              </w:rPr>
              <w:t>16</w:t>
            </w:r>
            <w:r>
              <w:rPr>
                <w:noProof/>
                <w:webHidden/>
              </w:rPr>
              <w:fldChar w:fldCharType="end"/>
            </w:r>
          </w:hyperlink>
        </w:p>
        <w:p w14:paraId="35ED0BE8" w14:textId="1D0FAE54"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68" w:history="1">
            <w:r w:rsidRPr="00C33226">
              <w:rPr>
                <w:rStyle w:val="Hyperlink"/>
                <w:rFonts w:ascii="Tahoma" w:eastAsia="標楷體" w:hAnsi="Tahoma" w:cs="Tahoma"/>
                <w:b/>
                <w:noProof/>
              </w:rPr>
              <w:t>Article  23</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Record retention period</w:t>
            </w:r>
            <w:r>
              <w:rPr>
                <w:noProof/>
                <w:webHidden/>
              </w:rPr>
              <w:tab/>
            </w:r>
            <w:r>
              <w:rPr>
                <w:noProof/>
                <w:webHidden/>
              </w:rPr>
              <w:fldChar w:fldCharType="begin"/>
            </w:r>
            <w:r>
              <w:rPr>
                <w:noProof/>
                <w:webHidden/>
              </w:rPr>
              <w:instrText xml:space="preserve"> PAGEREF _Toc142484968 \h </w:instrText>
            </w:r>
            <w:r>
              <w:rPr>
                <w:noProof/>
                <w:webHidden/>
              </w:rPr>
            </w:r>
            <w:r>
              <w:rPr>
                <w:noProof/>
                <w:webHidden/>
              </w:rPr>
              <w:fldChar w:fldCharType="separate"/>
            </w:r>
            <w:r w:rsidR="00BC04C2">
              <w:rPr>
                <w:noProof/>
                <w:webHidden/>
              </w:rPr>
              <w:t>16</w:t>
            </w:r>
            <w:r>
              <w:rPr>
                <w:noProof/>
                <w:webHidden/>
              </w:rPr>
              <w:fldChar w:fldCharType="end"/>
            </w:r>
          </w:hyperlink>
        </w:p>
        <w:p w14:paraId="61EE896A" w14:textId="6BE3FA99"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69" w:history="1">
            <w:r w:rsidRPr="00C33226">
              <w:rPr>
                <w:rStyle w:val="Hyperlink"/>
                <w:rFonts w:ascii="Tahoma" w:eastAsia="標楷體" w:hAnsi="Tahoma" w:cs="Tahoma"/>
                <w:b/>
                <w:noProof/>
              </w:rPr>
              <w:t>Article  24</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AML Supervisor and AMLCO</w:t>
            </w:r>
            <w:r>
              <w:rPr>
                <w:noProof/>
                <w:webHidden/>
              </w:rPr>
              <w:tab/>
            </w:r>
            <w:r>
              <w:rPr>
                <w:noProof/>
                <w:webHidden/>
              </w:rPr>
              <w:fldChar w:fldCharType="begin"/>
            </w:r>
            <w:r>
              <w:rPr>
                <w:noProof/>
                <w:webHidden/>
              </w:rPr>
              <w:instrText xml:space="preserve"> PAGEREF _Toc142484969 \h </w:instrText>
            </w:r>
            <w:r>
              <w:rPr>
                <w:noProof/>
                <w:webHidden/>
              </w:rPr>
            </w:r>
            <w:r>
              <w:rPr>
                <w:noProof/>
                <w:webHidden/>
              </w:rPr>
              <w:fldChar w:fldCharType="separate"/>
            </w:r>
            <w:r w:rsidR="00BC04C2">
              <w:rPr>
                <w:noProof/>
                <w:webHidden/>
              </w:rPr>
              <w:t>17</w:t>
            </w:r>
            <w:r>
              <w:rPr>
                <w:noProof/>
                <w:webHidden/>
              </w:rPr>
              <w:fldChar w:fldCharType="end"/>
            </w:r>
          </w:hyperlink>
        </w:p>
        <w:p w14:paraId="171A81F3" w14:textId="5481FB99"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70" w:history="1">
            <w:r w:rsidRPr="00C33226">
              <w:rPr>
                <w:rStyle w:val="Hyperlink"/>
                <w:rFonts w:ascii="Tahoma" w:eastAsia="標楷體" w:hAnsi="Tahoma" w:cs="Tahoma"/>
                <w:b/>
                <w:noProof/>
              </w:rPr>
              <w:t>Article  25</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Employment and Training</w:t>
            </w:r>
            <w:r>
              <w:rPr>
                <w:noProof/>
                <w:webHidden/>
              </w:rPr>
              <w:tab/>
            </w:r>
            <w:r>
              <w:rPr>
                <w:noProof/>
                <w:webHidden/>
              </w:rPr>
              <w:fldChar w:fldCharType="begin"/>
            </w:r>
            <w:r>
              <w:rPr>
                <w:noProof/>
                <w:webHidden/>
              </w:rPr>
              <w:instrText xml:space="preserve"> PAGEREF _Toc142484970 \h </w:instrText>
            </w:r>
            <w:r>
              <w:rPr>
                <w:noProof/>
                <w:webHidden/>
              </w:rPr>
            </w:r>
            <w:r>
              <w:rPr>
                <w:noProof/>
                <w:webHidden/>
              </w:rPr>
              <w:fldChar w:fldCharType="separate"/>
            </w:r>
            <w:r w:rsidR="00BC04C2">
              <w:rPr>
                <w:noProof/>
                <w:webHidden/>
              </w:rPr>
              <w:t>17</w:t>
            </w:r>
            <w:r>
              <w:rPr>
                <w:noProof/>
                <w:webHidden/>
              </w:rPr>
              <w:fldChar w:fldCharType="end"/>
            </w:r>
          </w:hyperlink>
        </w:p>
        <w:p w14:paraId="6EF803F7" w14:textId="5D7BEDF7"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71" w:history="1">
            <w:r w:rsidRPr="00C33226">
              <w:rPr>
                <w:rStyle w:val="Hyperlink"/>
                <w:rFonts w:ascii="Tahoma" w:eastAsia="標楷體" w:hAnsi="Tahoma" w:cs="Tahoma"/>
                <w:b/>
                <w:noProof/>
              </w:rPr>
              <w:t>Article  26</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Escalation and Reporting</w:t>
            </w:r>
            <w:r>
              <w:rPr>
                <w:noProof/>
                <w:webHidden/>
              </w:rPr>
              <w:tab/>
            </w:r>
            <w:r>
              <w:rPr>
                <w:noProof/>
                <w:webHidden/>
              </w:rPr>
              <w:fldChar w:fldCharType="begin"/>
            </w:r>
            <w:r>
              <w:rPr>
                <w:noProof/>
                <w:webHidden/>
              </w:rPr>
              <w:instrText xml:space="preserve"> PAGEREF _Toc142484971 \h </w:instrText>
            </w:r>
            <w:r>
              <w:rPr>
                <w:noProof/>
                <w:webHidden/>
              </w:rPr>
            </w:r>
            <w:r>
              <w:rPr>
                <w:noProof/>
                <w:webHidden/>
              </w:rPr>
              <w:fldChar w:fldCharType="separate"/>
            </w:r>
            <w:r w:rsidR="00BC04C2">
              <w:rPr>
                <w:noProof/>
                <w:webHidden/>
              </w:rPr>
              <w:t>18</w:t>
            </w:r>
            <w:r>
              <w:rPr>
                <w:noProof/>
                <w:webHidden/>
              </w:rPr>
              <w:fldChar w:fldCharType="end"/>
            </w:r>
          </w:hyperlink>
        </w:p>
        <w:p w14:paraId="3BBD1FE1" w14:textId="19D87646" w:rsidR="00EE74F6" w:rsidRDefault="00EE74F6">
          <w:pPr>
            <w:pStyle w:val="TOC2"/>
            <w:tabs>
              <w:tab w:val="left" w:pos="1320"/>
              <w:tab w:val="right" w:leader="dot" w:pos="9060"/>
            </w:tabs>
            <w:rPr>
              <w:rFonts w:asciiTheme="minorHAnsi" w:eastAsiaTheme="minorEastAsia" w:hAnsiTheme="minorHAnsi" w:cstheme="minorBidi"/>
              <w:noProof/>
              <w:sz w:val="22"/>
              <w14:ligatures w14:val="standardContextual"/>
            </w:rPr>
          </w:pPr>
          <w:hyperlink w:anchor="_Toc142484972" w:history="1">
            <w:r w:rsidRPr="00C33226">
              <w:rPr>
                <w:rStyle w:val="Hyperlink"/>
                <w:rFonts w:ascii="Tahoma" w:eastAsia="標楷體" w:hAnsi="Tahoma" w:cs="Tahoma"/>
                <w:b/>
                <w:noProof/>
              </w:rPr>
              <w:t>Article  27</w:t>
            </w:r>
            <w:r>
              <w:rPr>
                <w:rFonts w:asciiTheme="minorHAnsi" w:eastAsiaTheme="minorEastAsia" w:hAnsiTheme="minorHAnsi" w:cstheme="minorBidi"/>
                <w:noProof/>
                <w:sz w:val="22"/>
                <w14:ligatures w14:val="standardContextual"/>
              </w:rPr>
              <w:tab/>
            </w:r>
            <w:r w:rsidRPr="00C33226">
              <w:rPr>
                <w:rStyle w:val="Hyperlink"/>
                <w:rFonts w:ascii="Tahoma" w:eastAsia="標楷體" w:hAnsi="Tahoma" w:cs="Tahoma"/>
                <w:noProof/>
              </w:rPr>
              <w:t>Approval Level</w:t>
            </w:r>
            <w:r>
              <w:rPr>
                <w:noProof/>
                <w:webHidden/>
              </w:rPr>
              <w:tab/>
            </w:r>
            <w:r>
              <w:rPr>
                <w:noProof/>
                <w:webHidden/>
              </w:rPr>
              <w:fldChar w:fldCharType="begin"/>
            </w:r>
            <w:r>
              <w:rPr>
                <w:noProof/>
                <w:webHidden/>
              </w:rPr>
              <w:instrText xml:space="preserve"> PAGEREF _Toc142484972 \h </w:instrText>
            </w:r>
            <w:r>
              <w:rPr>
                <w:noProof/>
                <w:webHidden/>
              </w:rPr>
            </w:r>
            <w:r>
              <w:rPr>
                <w:noProof/>
                <w:webHidden/>
              </w:rPr>
              <w:fldChar w:fldCharType="separate"/>
            </w:r>
            <w:r w:rsidR="00BC04C2">
              <w:rPr>
                <w:noProof/>
                <w:webHidden/>
              </w:rPr>
              <w:t>18</w:t>
            </w:r>
            <w:r>
              <w:rPr>
                <w:noProof/>
                <w:webHidden/>
              </w:rPr>
              <w:fldChar w:fldCharType="end"/>
            </w:r>
          </w:hyperlink>
        </w:p>
        <w:p w14:paraId="617CCC09" w14:textId="0B4F839B" w:rsidR="00EE74F6" w:rsidRDefault="00EE74F6">
          <w:pPr>
            <w:pStyle w:val="TOC1"/>
            <w:tabs>
              <w:tab w:val="right" w:leader="dot" w:pos="9060"/>
            </w:tabs>
            <w:rPr>
              <w:rFonts w:asciiTheme="minorHAnsi" w:eastAsiaTheme="minorEastAsia" w:hAnsiTheme="minorHAnsi" w:cstheme="minorBidi"/>
              <w:b w:val="0"/>
              <w:noProof/>
              <w:sz w:val="22"/>
              <w14:ligatures w14:val="standardContextual"/>
            </w:rPr>
          </w:pPr>
          <w:hyperlink w:anchor="_Toc142484973" w:history="1">
            <w:r w:rsidRPr="00C33226">
              <w:rPr>
                <w:rStyle w:val="Hyperlink"/>
                <w:rFonts w:ascii="Tahoma" w:hAnsi="Tahoma" w:cs="Tahoma"/>
                <w:bCs/>
                <w:noProof/>
                <w:lang w:val="en-GB"/>
              </w:rPr>
              <w:t xml:space="preserve">Annex to Article 24 of the </w:t>
            </w:r>
            <w:r w:rsidRPr="00C33226">
              <w:rPr>
                <w:rStyle w:val="Hyperlink"/>
                <w:rFonts w:ascii="Tahoma" w:eastAsiaTheme="minorHAnsi" w:hAnsi="Tahoma" w:cs="Tahoma"/>
                <w:bCs/>
                <w:noProof/>
                <w:lang w:val="en-GB"/>
              </w:rPr>
              <w:t>Guidelines Governing Anti-Money Laundering and Countering the Financing of Terrorism</w:t>
            </w:r>
            <w:r>
              <w:rPr>
                <w:noProof/>
                <w:webHidden/>
              </w:rPr>
              <w:tab/>
            </w:r>
            <w:r>
              <w:rPr>
                <w:noProof/>
                <w:webHidden/>
              </w:rPr>
              <w:fldChar w:fldCharType="begin"/>
            </w:r>
            <w:r>
              <w:rPr>
                <w:noProof/>
                <w:webHidden/>
              </w:rPr>
              <w:instrText xml:space="preserve"> PAGEREF _Toc142484973 \h </w:instrText>
            </w:r>
            <w:r>
              <w:rPr>
                <w:noProof/>
                <w:webHidden/>
              </w:rPr>
            </w:r>
            <w:r>
              <w:rPr>
                <w:noProof/>
                <w:webHidden/>
              </w:rPr>
              <w:fldChar w:fldCharType="separate"/>
            </w:r>
            <w:r w:rsidR="00BC04C2">
              <w:rPr>
                <w:noProof/>
                <w:webHidden/>
              </w:rPr>
              <w:t>19</w:t>
            </w:r>
            <w:r>
              <w:rPr>
                <w:noProof/>
                <w:webHidden/>
              </w:rPr>
              <w:fldChar w:fldCharType="end"/>
            </w:r>
          </w:hyperlink>
        </w:p>
        <w:p w14:paraId="730A41FD" w14:textId="2F3EA49F" w:rsidR="00784507" w:rsidRPr="009248BF" w:rsidRDefault="00784507" w:rsidP="009248BF">
          <w:pPr>
            <w:spacing w:line="240" w:lineRule="exact"/>
            <w:rPr>
              <w:rFonts w:ascii="Tahoma" w:eastAsiaTheme="minorHAnsi" w:hAnsi="Tahoma" w:cs="Tahoma"/>
              <w:b/>
              <w:bCs/>
              <w:sz w:val="20"/>
              <w:szCs w:val="20"/>
              <w:lang w:val="en-GB"/>
            </w:rPr>
          </w:pPr>
          <w:r>
            <w:rPr>
              <w:b/>
              <w:bCs/>
              <w:noProof/>
            </w:rPr>
            <w:fldChar w:fldCharType="end"/>
          </w:r>
          <w:r w:rsidR="00B307C4" w:rsidRPr="00B307C4">
            <w:rPr>
              <w:b/>
              <w:bCs/>
              <w:noProof/>
              <w:webHidden/>
            </w:rPr>
            <w:tab/>
          </w:r>
        </w:p>
      </w:sdtContent>
    </w:sdt>
    <w:p w14:paraId="2B944B77" w14:textId="77777777" w:rsidR="00F252AA" w:rsidRPr="00A23834" w:rsidRDefault="008B5D4D" w:rsidP="00444008">
      <w:pPr>
        <w:pStyle w:val="Heading1"/>
        <w:rPr>
          <w:rFonts w:ascii="Tahoma" w:eastAsia="標楷體" w:hAnsi="Tahoma" w:cs="Tahoma"/>
          <w:bCs/>
          <w:color w:val="auto"/>
          <w:sz w:val="24"/>
          <w:szCs w:val="24"/>
        </w:rPr>
      </w:pPr>
      <w:bookmarkStart w:id="0" w:name="_Toc142480912"/>
      <w:bookmarkStart w:id="1" w:name="_Toc142484941"/>
      <w:r w:rsidRPr="00A23834">
        <w:rPr>
          <w:rFonts w:ascii="Tahoma" w:eastAsia="標楷體" w:hAnsi="Tahoma" w:cs="Tahoma"/>
          <w:bCs/>
          <w:color w:val="auto"/>
          <w:sz w:val="24"/>
          <w:szCs w:val="24"/>
        </w:rPr>
        <w:lastRenderedPageBreak/>
        <w:t xml:space="preserve">Chapter </w:t>
      </w:r>
      <w:r w:rsidR="00F252AA" w:rsidRPr="00A23834">
        <w:rPr>
          <w:rFonts w:ascii="Tahoma" w:eastAsia="標楷體" w:hAnsi="Tahoma" w:cs="Tahoma"/>
          <w:bCs/>
          <w:color w:val="auto"/>
          <w:sz w:val="24"/>
          <w:szCs w:val="24"/>
        </w:rPr>
        <w:t xml:space="preserve">One- General </w:t>
      </w:r>
      <w:r w:rsidR="00AF503E" w:rsidRPr="00A23834">
        <w:rPr>
          <w:rFonts w:ascii="Tahoma" w:eastAsia="標楷體" w:hAnsi="Tahoma" w:cs="Tahoma"/>
          <w:bCs/>
          <w:color w:val="auto"/>
          <w:sz w:val="24"/>
          <w:szCs w:val="24"/>
        </w:rPr>
        <w:t>Rule</w:t>
      </w:r>
      <w:r w:rsidR="00F50FC1" w:rsidRPr="00A23834">
        <w:rPr>
          <w:rFonts w:ascii="Tahoma" w:eastAsia="標楷體" w:hAnsi="Tahoma" w:cs="Tahoma"/>
          <w:bCs/>
          <w:color w:val="auto"/>
          <w:sz w:val="24"/>
          <w:szCs w:val="24"/>
        </w:rPr>
        <w:t>s</w:t>
      </w:r>
      <w:bookmarkEnd w:id="0"/>
      <w:bookmarkEnd w:id="1"/>
    </w:p>
    <w:p w14:paraId="731FCE99" w14:textId="769A778C" w:rsidR="00F252AA" w:rsidRPr="00A23834" w:rsidRDefault="00CF74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bCs/>
          <w:sz w:val="20"/>
          <w:szCs w:val="20"/>
        </w:rPr>
      </w:pPr>
      <w:bookmarkStart w:id="2" w:name="_Toc142480913"/>
      <w:bookmarkStart w:id="3" w:name="_Toc142484942"/>
      <w:r>
        <w:rPr>
          <w:rFonts w:ascii="Tahoma" w:eastAsia="標楷體" w:hAnsi="Tahoma" w:cs="Tahoma"/>
          <w:bCs/>
          <w:sz w:val="20"/>
          <w:szCs w:val="20"/>
        </w:rPr>
        <w:t>Introduction</w:t>
      </w:r>
      <w:bookmarkEnd w:id="2"/>
      <w:bookmarkEnd w:id="3"/>
    </w:p>
    <w:p w14:paraId="2645B088" w14:textId="77777777" w:rsidR="00621829" w:rsidRPr="00A23834" w:rsidRDefault="00621829" w:rsidP="00677C16">
      <w:pPr>
        <w:snapToGrid w:val="0"/>
        <w:spacing w:line="240" w:lineRule="exact"/>
        <w:jc w:val="both"/>
        <w:rPr>
          <w:rFonts w:ascii="Tahoma" w:eastAsia="標楷體" w:hAnsi="Tahoma" w:cs="Tahoma"/>
          <w:sz w:val="20"/>
          <w:szCs w:val="20"/>
        </w:rPr>
      </w:pPr>
    </w:p>
    <w:p w14:paraId="5A920914" w14:textId="77777777" w:rsidR="00F252AA" w:rsidRPr="004853E7" w:rsidRDefault="00F252AA" w:rsidP="00677C16">
      <w:pPr>
        <w:snapToGrid w:val="0"/>
        <w:spacing w:line="240" w:lineRule="exact"/>
        <w:jc w:val="both"/>
        <w:rPr>
          <w:rFonts w:ascii="Tahoma" w:eastAsia="標楷體" w:hAnsi="Tahoma" w:cs="Tahoma"/>
          <w:sz w:val="20"/>
          <w:szCs w:val="20"/>
        </w:rPr>
      </w:pPr>
      <w:r w:rsidRPr="00A23834">
        <w:rPr>
          <w:rFonts w:ascii="Tahoma" w:eastAsia="標楷體" w:hAnsi="Tahoma" w:cs="Tahoma"/>
          <w:sz w:val="20"/>
          <w:szCs w:val="20"/>
        </w:rPr>
        <w:t>The Guidelines a</w:t>
      </w:r>
      <w:r w:rsidR="00FA21D6" w:rsidRPr="00A23834">
        <w:rPr>
          <w:rFonts w:ascii="Tahoma" w:eastAsia="標楷體" w:hAnsi="Tahoma" w:cs="Tahoma"/>
          <w:sz w:val="20"/>
          <w:szCs w:val="20"/>
        </w:rPr>
        <w:t xml:space="preserve">re formulated for the bank </w:t>
      </w:r>
      <w:r w:rsidR="00FA21D6" w:rsidRPr="004853E7">
        <w:rPr>
          <w:rFonts w:ascii="Tahoma" w:eastAsia="標楷體" w:hAnsi="Tahoma" w:cs="Tahoma"/>
          <w:sz w:val="20"/>
          <w:szCs w:val="20"/>
        </w:rPr>
        <w:t xml:space="preserve">employees to obey in order to prevent </w:t>
      </w:r>
      <w:r w:rsidR="00ED6E9C" w:rsidRPr="004853E7">
        <w:rPr>
          <w:rFonts w:ascii="Tahoma" w:eastAsia="標楷體" w:hAnsi="Tahoma" w:cs="Tahoma"/>
          <w:sz w:val="20"/>
          <w:szCs w:val="20"/>
        </w:rPr>
        <w:t xml:space="preserve">the </w:t>
      </w:r>
      <w:r w:rsidR="00FA21D6" w:rsidRPr="004853E7">
        <w:rPr>
          <w:rFonts w:ascii="Tahoma" w:eastAsia="標楷體" w:hAnsi="Tahoma" w:cs="Tahoma"/>
          <w:sz w:val="20"/>
          <w:szCs w:val="20"/>
        </w:rPr>
        <w:t>money laundering and counter the financing of terrorism.</w:t>
      </w:r>
    </w:p>
    <w:p w14:paraId="2F731C88" w14:textId="402DDCBE" w:rsidR="00621829" w:rsidRPr="004853E7" w:rsidRDefault="00621829" w:rsidP="00677C16">
      <w:pPr>
        <w:snapToGrid w:val="0"/>
        <w:spacing w:line="240" w:lineRule="exact"/>
        <w:jc w:val="both"/>
        <w:rPr>
          <w:rFonts w:ascii="Tahoma" w:eastAsia="標楷體" w:hAnsi="Tahoma" w:cs="Tahoma"/>
          <w:bCs/>
          <w:sz w:val="20"/>
          <w:szCs w:val="20"/>
        </w:rPr>
      </w:pPr>
    </w:p>
    <w:p w14:paraId="3A7A32CD" w14:textId="1F3DBAE1" w:rsidR="00531A1A" w:rsidRPr="004853E7" w:rsidRDefault="00531A1A" w:rsidP="00677C16">
      <w:pPr>
        <w:snapToGrid w:val="0"/>
        <w:spacing w:line="240" w:lineRule="exact"/>
        <w:jc w:val="both"/>
        <w:rPr>
          <w:rFonts w:ascii="Tahoma" w:eastAsia="標楷體" w:hAnsi="Tahoma" w:cs="Tahoma"/>
          <w:bCs/>
          <w:sz w:val="20"/>
          <w:szCs w:val="20"/>
        </w:rPr>
      </w:pPr>
      <w:r w:rsidRPr="004853E7">
        <w:rPr>
          <w:rFonts w:ascii="Tahoma" w:eastAsia="標楷體" w:hAnsi="Tahoma" w:cs="Tahoma"/>
          <w:bCs/>
          <w:sz w:val="20"/>
          <w:szCs w:val="20"/>
        </w:rPr>
        <w:t>The implementation of this Guideline shall be on the risk-based approach</w:t>
      </w:r>
      <w:r w:rsidRPr="004853E7">
        <w:rPr>
          <w:rFonts w:ascii="Tahoma" w:eastAsia="標楷體" w:hAnsi="Tahoma" w:cs="Tahoma" w:hint="eastAsia"/>
          <w:bCs/>
          <w:sz w:val="20"/>
          <w:szCs w:val="20"/>
        </w:rPr>
        <w:t xml:space="preserve"> a</w:t>
      </w:r>
      <w:r w:rsidRPr="004853E7">
        <w:rPr>
          <w:rFonts w:ascii="Tahoma" w:eastAsia="標楷體" w:hAnsi="Tahoma" w:cs="Tahoma"/>
          <w:bCs/>
          <w:sz w:val="20"/>
          <w:szCs w:val="20"/>
        </w:rPr>
        <w:t>nd it shall be documented properly.</w:t>
      </w:r>
    </w:p>
    <w:p w14:paraId="5DD378FF" w14:textId="77777777" w:rsidR="00531A1A" w:rsidRPr="004853E7" w:rsidRDefault="00531A1A" w:rsidP="00677C16">
      <w:pPr>
        <w:snapToGrid w:val="0"/>
        <w:spacing w:line="240" w:lineRule="exact"/>
        <w:jc w:val="both"/>
        <w:rPr>
          <w:rFonts w:ascii="Tahoma" w:eastAsia="標楷體" w:hAnsi="Tahoma" w:cs="Tahoma"/>
          <w:bCs/>
          <w:sz w:val="20"/>
          <w:szCs w:val="20"/>
        </w:rPr>
      </w:pPr>
    </w:p>
    <w:p w14:paraId="33D67763" w14:textId="45AED201" w:rsidR="001F6E7A" w:rsidRPr="004853E7" w:rsidRDefault="001F6E7A" w:rsidP="00677C16">
      <w:pPr>
        <w:snapToGrid w:val="0"/>
        <w:spacing w:line="240" w:lineRule="exact"/>
        <w:jc w:val="both"/>
        <w:rPr>
          <w:rFonts w:ascii="Tahoma" w:eastAsia="標楷體" w:hAnsi="Tahoma" w:cs="Tahoma"/>
          <w:sz w:val="20"/>
          <w:szCs w:val="20"/>
        </w:rPr>
      </w:pPr>
      <w:r w:rsidRPr="004853E7">
        <w:rPr>
          <w:rFonts w:ascii="Tahoma" w:eastAsia="標楷體" w:hAnsi="Tahoma" w:cs="Tahoma"/>
          <w:sz w:val="20"/>
          <w:szCs w:val="20"/>
        </w:rPr>
        <w:t>The relevant procedures or methodology for implementing the Guidelines are approved by Management Committee.</w:t>
      </w:r>
    </w:p>
    <w:p w14:paraId="6E1A6632" w14:textId="7D220C9F" w:rsidR="00F252AA" w:rsidRPr="004853E7" w:rsidRDefault="00CF74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bCs/>
          <w:sz w:val="20"/>
          <w:szCs w:val="20"/>
        </w:rPr>
      </w:pPr>
      <w:bookmarkStart w:id="4" w:name="_Toc142480914"/>
      <w:bookmarkStart w:id="5" w:name="_Toc142484943"/>
      <w:r w:rsidRPr="004853E7">
        <w:rPr>
          <w:rFonts w:ascii="Tahoma" w:eastAsia="標楷體" w:hAnsi="Tahoma" w:cs="Tahoma"/>
          <w:bCs/>
          <w:sz w:val="20"/>
          <w:szCs w:val="20"/>
        </w:rPr>
        <w:t>Reference</w:t>
      </w:r>
      <w:bookmarkEnd w:id="4"/>
      <w:bookmarkEnd w:id="5"/>
    </w:p>
    <w:p w14:paraId="05CF6F5F" w14:textId="77777777" w:rsidR="00621829" w:rsidRPr="004853E7" w:rsidRDefault="00621829" w:rsidP="00677C16">
      <w:pPr>
        <w:snapToGrid w:val="0"/>
        <w:spacing w:line="240" w:lineRule="exact"/>
        <w:jc w:val="both"/>
        <w:rPr>
          <w:rFonts w:ascii="Tahoma" w:eastAsia="標楷體" w:hAnsi="Tahoma" w:cs="Tahoma"/>
          <w:sz w:val="20"/>
          <w:szCs w:val="20"/>
        </w:rPr>
      </w:pPr>
    </w:p>
    <w:p w14:paraId="01F055E0" w14:textId="77777777" w:rsidR="00280F8F" w:rsidRPr="004853E7" w:rsidRDefault="00280F8F" w:rsidP="00677C16">
      <w:pPr>
        <w:snapToGrid w:val="0"/>
        <w:spacing w:line="240" w:lineRule="exact"/>
        <w:jc w:val="both"/>
        <w:rPr>
          <w:rFonts w:ascii="Tahoma" w:eastAsia="標楷體" w:hAnsi="Tahoma" w:cs="Tahoma"/>
          <w:b/>
          <w:sz w:val="20"/>
          <w:szCs w:val="20"/>
        </w:rPr>
      </w:pPr>
      <w:r w:rsidRPr="004853E7">
        <w:rPr>
          <w:rFonts w:ascii="Tahoma" w:eastAsia="標楷體" w:hAnsi="Tahoma" w:cs="Tahoma"/>
          <w:sz w:val="20"/>
          <w:szCs w:val="20"/>
        </w:rPr>
        <w:t>These guidelines are in accordance with following Laws</w:t>
      </w:r>
      <w:r w:rsidR="00C944C4" w:rsidRPr="004853E7">
        <w:rPr>
          <w:rFonts w:ascii="Tahoma" w:eastAsia="標楷體" w:hAnsi="Tahoma" w:cs="Tahoma"/>
          <w:sz w:val="20"/>
          <w:szCs w:val="20"/>
        </w:rPr>
        <w:t>,</w:t>
      </w:r>
      <w:r w:rsidRPr="004853E7">
        <w:rPr>
          <w:rFonts w:ascii="Tahoma" w:eastAsia="標楷體" w:hAnsi="Tahoma" w:cs="Tahoma"/>
          <w:sz w:val="20"/>
          <w:szCs w:val="20"/>
        </w:rPr>
        <w:t xml:space="preserve"> </w:t>
      </w:r>
      <w:r w:rsidR="00702AB0" w:rsidRPr="004853E7">
        <w:rPr>
          <w:rFonts w:ascii="Tahoma" w:eastAsia="標楷體" w:hAnsi="Tahoma" w:cs="Tahoma"/>
          <w:sz w:val="20"/>
          <w:szCs w:val="20"/>
        </w:rPr>
        <w:t xml:space="preserve">Regulations </w:t>
      </w:r>
      <w:r w:rsidR="00C944C4" w:rsidRPr="004853E7">
        <w:rPr>
          <w:rFonts w:ascii="Tahoma" w:eastAsia="標楷體" w:hAnsi="Tahoma" w:cs="Tahoma"/>
          <w:sz w:val="20"/>
          <w:szCs w:val="20"/>
        </w:rPr>
        <w:t xml:space="preserve">and </w:t>
      </w:r>
      <w:r w:rsidR="00702AB0" w:rsidRPr="004853E7">
        <w:rPr>
          <w:rFonts w:ascii="Tahoma" w:eastAsia="標楷體" w:hAnsi="Tahoma" w:cs="Tahoma"/>
          <w:sz w:val="20"/>
          <w:szCs w:val="20"/>
        </w:rPr>
        <w:t xml:space="preserve">Circulars </w:t>
      </w:r>
      <w:r w:rsidRPr="004853E7">
        <w:rPr>
          <w:rFonts w:ascii="Tahoma" w:eastAsia="標楷體" w:hAnsi="Tahoma" w:cs="Tahoma"/>
          <w:sz w:val="20"/>
          <w:szCs w:val="20"/>
        </w:rPr>
        <w:t>from both</w:t>
      </w:r>
      <w:r w:rsidR="008B5D4D" w:rsidRPr="004853E7">
        <w:rPr>
          <w:rFonts w:ascii="Tahoma" w:eastAsia="標楷體" w:hAnsi="Tahoma" w:cs="Tahoma"/>
          <w:sz w:val="20"/>
          <w:szCs w:val="20"/>
        </w:rPr>
        <w:t xml:space="preserve"> the</w:t>
      </w:r>
      <w:r w:rsidR="00FD1BE8" w:rsidRPr="004853E7">
        <w:rPr>
          <w:rFonts w:ascii="Tahoma" w:eastAsia="標楷體" w:hAnsi="Tahoma" w:cs="Tahoma"/>
          <w:sz w:val="20"/>
          <w:szCs w:val="20"/>
        </w:rPr>
        <w:t xml:space="preserve"> </w:t>
      </w:r>
      <w:r w:rsidR="008B5D4D" w:rsidRPr="004853E7">
        <w:rPr>
          <w:rFonts w:ascii="Tahoma" w:eastAsia="標楷體" w:hAnsi="Tahoma" w:cs="Tahoma"/>
          <w:sz w:val="20"/>
          <w:szCs w:val="20"/>
        </w:rPr>
        <w:t>Belgi</w:t>
      </w:r>
      <w:r w:rsidR="0051224C" w:rsidRPr="004853E7">
        <w:rPr>
          <w:rFonts w:ascii="Tahoma" w:eastAsia="標楷體" w:hAnsi="Tahoma" w:cs="Tahoma"/>
          <w:sz w:val="20"/>
          <w:szCs w:val="20"/>
        </w:rPr>
        <w:t>um</w:t>
      </w:r>
      <w:r w:rsidR="00FD1BE8" w:rsidRPr="004853E7">
        <w:rPr>
          <w:rFonts w:ascii="Tahoma" w:eastAsia="標楷體" w:hAnsi="Tahoma" w:cs="Tahoma"/>
          <w:sz w:val="20"/>
          <w:szCs w:val="20"/>
        </w:rPr>
        <w:t xml:space="preserve"> </w:t>
      </w:r>
      <w:r w:rsidRPr="004853E7">
        <w:rPr>
          <w:rFonts w:ascii="Tahoma" w:eastAsia="標楷體" w:hAnsi="Tahoma" w:cs="Tahoma"/>
          <w:sz w:val="20"/>
          <w:szCs w:val="20"/>
        </w:rPr>
        <w:t xml:space="preserve">and Taiwanese </w:t>
      </w:r>
      <w:r w:rsidR="00702AB0" w:rsidRPr="004853E7">
        <w:rPr>
          <w:rFonts w:ascii="Tahoma" w:eastAsia="標楷體" w:hAnsi="Tahoma" w:cs="Tahoma"/>
          <w:sz w:val="20"/>
          <w:szCs w:val="20"/>
        </w:rPr>
        <w:t>Authorities</w:t>
      </w:r>
      <w:r w:rsidR="008B5D4D" w:rsidRPr="004853E7">
        <w:rPr>
          <w:rFonts w:ascii="Tahoma" w:eastAsia="標楷體" w:hAnsi="Tahoma" w:cs="Tahoma"/>
          <w:sz w:val="20"/>
          <w:szCs w:val="20"/>
        </w:rPr>
        <w:t>:</w:t>
      </w:r>
    </w:p>
    <w:p w14:paraId="687DAD1F" w14:textId="77777777" w:rsidR="008F4F95" w:rsidRPr="0009643E" w:rsidRDefault="008F4F95"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09643E">
        <w:rPr>
          <w:rFonts w:ascii="Tahoma" w:eastAsia="標楷體" w:hAnsi="Tahoma" w:cs="Tahoma"/>
          <w:sz w:val="20"/>
          <w:szCs w:val="20"/>
        </w:rPr>
        <w:t>The NBB circulars concerning the NBB Periodic Questionnaires on the prevention of money laundering and terrorist financing are issued annually to financial institutions under NBB supervision. These circulars include detailed instructions on how to complete the questionnaire, the deadline for submission, and the platform to be used.</w:t>
      </w:r>
    </w:p>
    <w:p w14:paraId="57619EAA" w14:textId="743F8D19" w:rsidR="008F4F95" w:rsidRPr="0009643E" w:rsidRDefault="008F4F95" w:rsidP="001F6E7A">
      <w:pPr>
        <w:pStyle w:val="ListParagraph"/>
        <w:numPr>
          <w:ilvl w:val="1"/>
          <w:numId w:val="5"/>
        </w:numPr>
        <w:snapToGrid w:val="0"/>
        <w:spacing w:line="240" w:lineRule="exact"/>
        <w:ind w:leftChars="0"/>
        <w:jc w:val="both"/>
        <w:rPr>
          <w:rFonts w:ascii="Tahoma" w:eastAsia="標楷體" w:hAnsi="Tahoma" w:cs="Tahoma"/>
          <w:sz w:val="20"/>
          <w:szCs w:val="20"/>
        </w:rPr>
      </w:pPr>
      <w:r w:rsidRPr="0009643E">
        <w:rPr>
          <w:rFonts w:ascii="Tahoma" w:eastAsia="標楷體" w:hAnsi="Tahoma" w:cs="Tahoma"/>
          <w:sz w:val="20"/>
          <w:szCs w:val="20"/>
        </w:rPr>
        <w:t xml:space="preserve">The NBB circulars related to the </w:t>
      </w:r>
      <w:r w:rsidR="00A30393" w:rsidRPr="0009643E">
        <w:rPr>
          <w:rFonts w:ascii="Tahoma" w:eastAsia="標楷體" w:hAnsi="Tahoma" w:cs="Tahoma" w:hint="eastAsia"/>
          <w:sz w:val="20"/>
          <w:szCs w:val="20"/>
        </w:rPr>
        <w:t>AMLCO</w:t>
      </w:r>
      <w:r w:rsidR="00A30393" w:rsidRPr="0009643E">
        <w:rPr>
          <w:rFonts w:ascii="Tahoma" w:eastAsia="標楷體" w:hAnsi="Tahoma" w:cs="Tahoma"/>
          <w:sz w:val="20"/>
          <w:szCs w:val="20"/>
        </w:rPr>
        <w:t>’</w:t>
      </w:r>
      <w:r w:rsidR="00A30393" w:rsidRPr="0009643E">
        <w:rPr>
          <w:rFonts w:ascii="Tahoma" w:eastAsia="標楷體" w:hAnsi="Tahoma" w:cs="Tahoma" w:hint="eastAsia"/>
          <w:sz w:val="20"/>
          <w:szCs w:val="20"/>
        </w:rPr>
        <w:t>s annual activity report</w:t>
      </w:r>
      <w:r w:rsidRPr="0009643E">
        <w:rPr>
          <w:rFonts w:ascii="Tahoma" w:eastAsia="標楷體" w:hAnsi="Tahoma" w:cs="Tahoma"/>
          <w:sz w:val="20"/>
          <w:szCs w:val="20"/>
        </w:rPr>
        <w:t xml:space="preserve"> are issued annually to financial institutions under NBB supervision. These circulars provide detailed guidelines on how to </w:t>
      </w:r>
      <w:r w:rsidR="00A30393" w:rsidRPr="0009643E">
        <w:rPr>
          <w:rFonts w:ascii="Tahoma" w:eastAsia="標楷體" w:hAnsi="Tahoma" w:cs="Tahoma" w:hint="eastAsia"/>
          <w:sz w:val="20"/>
          <w:szCs w:val="20"/>
        </w:rPr>
        <w:t>make</w:t>
      </w:r>
      <w:r w:rsidRPr="0009643E">
        <w:rPr>
          <w:rFonts w:ascii="Tahoma" w:eastAsia="標楷體" w:hAnsi="Tahoma" w:cs="Tahoma"/>
          <w:sz w:val="20"/>
          <w:szCs w:val="20"/>
        </w:rPr>
        <w:t xml:space="preserve"> the </w:t>
      </w:r>
      <w:r w:rsidR="00A30393" w:rsidRPr="0009643E">
        <w:rPr>
          <w:rFonts w:ascii="Tahoma" w:eastAsia="標楷體" w:hAnsi="Tahoma" w:cs="Tahoma" w:hint="eastAsia"/>
          <w:sz w:val="20"/>
          <w:szCs w:val="20"/>
        </w:rPr>
        <w:t>report</w:t>
      </w:r>
      <w:r w:rsidRPr="0009643E">
        <w:rPr>
          <w:rFonts w:ascii="Tahoma" w:eastAsia="標楷體" w:hAnsi="Tahoma" w:cs="Tahoma"/>
          <w:sz w:val="20"/>
          <w:szCs w:val="20"/>
        </w:rPr>
        <w:t>, the submission deadline, and the platform to be used.</w:t>
      </w:r>
    </w:p>
    <w:p w14:paraId="692F626A" w14:textId="351A920C" w:rsidR="001F6E7A" w:rsidRPr="004853E7" w:rsidRDefault="001F6E7A" w:rsidP="001F6E7A">
      <w:pPr>
        <w:pStyle w:val="ListParagraph"/>
        <w:numPr>
          <w:ilvl w:val="1"/>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Belgian AML Law:</w:t>
      </w:r>
    </w:p>
    <w:p w14:paraId="59DF6149" w14:textId="4409ADE7" w:rsidR="001F6E7A" w:rsidRPr="004853E7" w:rsidRDefault="001F6E7A" w:rsidP="00E362F7">
      <w:pPr>
        <w:pStyle w:val="ListParagraph"/>
        <w:numPr>
          <w:ilvl w:val="2"/>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18 September 2017 Law on the prevention of money laundering and terrorist financing and on the restriction of the use of cash</w:t>
      </w:r>
    </w:p>
    <w:p w14:paraId="69A4131F" w14:textId="5A9AB3B3" w:rsidR="001F6E7A" w:rsidRPr="004853E7" w:rsidRDefault="001F6E7A" w:rsidP="00E362F7">
      <w:pPr>
        <w:pStyle w:val="ListParagraph"/>
        <w:numPr>
          <w:ilvl w:val="2"/>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20 July 2020 AML Law amending the Belgian AML Law of 18 September 2017.</w:t>
      </w:r>
    </w:p>
    <w:p w14:paraId="6C103057" w14:textId="77777777" w:rsidR="001F6E7A" w:rsidRPr="004853E7" w:rsidRDefault="001F6E7A" w:rsidP="001F6E7A">
      <w:pPr>
        <w:pStyle w:val="ListParagraph"/>
        <w:numPr>
          <w:ilvl w:val="1"/>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Regulation of the National Bank of Belgium (“NBB AML Regulation”)</w:t>
      </w:r>
    </w:p>
    <w:p w14:paraId="1AE9E668" w14:textId="77777777" w:rsidR="00E362F7" w:rsidRPr="004853E7" w:rsidRDefault="001F6E7A" w:rsidP="00E362F7">
      <w:pPr>
        <w:pStyle w:val="ListParagraph"/>
        <w:numPr>
          <w:ilvl w:val="2"/>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 xml:space="preserve">21 November 2017 on the prevention of money laundering and terrorist financing. </w:t>
      </w:r>
    </w:p>
    <w:p w14:paraId="6D0B8CB8" w14:textId="75CBDF2F" w:rsidR="001F6E7A" w:rsidRPr="004853E7" w:rsidRDefault="001F6E7A" w:rsidP="00E362F7">
      <w:pPr>
        <w:pStyle w:val="ListParagraph"/>
        <w:numPr>
          <w:ilvl w:val="2"/>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15 September 2020 Circular NBB_2020_36 on the transposing of the AML V EU Directive 2018/843 into Belgian Law by the AML Law of 20</w:t>
      </w:r>
      <w:r w:rsidR="0097249F">
        <w:rPr>
          <w:rFonts w:ascii="Tahoma" w:eastAsia="標楷體" w:hAnsi="Tahoma" w:cs="Tahoma"/>
          <w:sz w:val="20"/>
          <w:szCs w:val="20"/>
        </w:rPr>
        <w:t xml:space="preserve"> </w:t>
      </w:r>
      <w:r w:rsidRPr="004853E7">
        <w:rPr>
          <w:rFonts w:ascii="Tahoma" w:eastAsia="標楷體" w:hAnsi="Tahoma" w:cs="Tahoma"/>
          <w:sz w:val="20"/>
          <w:szCs w:val="20"/>
        </w:rPr>
        <w:t>July 2020.</w:t>
      </w:r>
    </w:p>
    <w:p w14:paraId="462FE371" w14:textId="77777777" w:rsidR="001F6E7A" w:rsidRPr="004853E7" w:rsidRDefault="001F6E7A" w:rsidP="001F6E7A">
      <w:pPr>
        <w:pStyle w:val="ListParagraph"/>
        <w:numPr>
          <w:ilvl w:val="1"/>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Directive (EU) 2018/843 of the European Parliament and of the Council of 30 May 2018 amending Directive (EU) 2015/849 on the prevention of the use of the financial system for the purposes of money laundering or terrorist financing, and amending Directives 2009/138/EC and 2013/36/EU (the “5th Anti-Money Laundering Directive”).</w:t>
      </w:r>
    </w:p>
    <w:p w14:paraId="01224C74" w14:textId="77777777" w:rsidR="00C35A1B" w:rsidRPr="004853E7" w:rsidRDefault="00710359"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Regulations Governing Internal Audit and Internal Control System of Anti-Money Laundering and Countering Terrorism Financing of Banking Business and Other Financial Institutions Designated by the Financial Supervisory Commission</w:t>
      </w:r>
    </w:p>
    <w:p w14:paraId="1BDBB60A" w14:textId="77777777" w:rsidR="00C35A1B" w:rsidRPr="004853E7" w:rsidRDefault="00C35A1B" w:rsidP="00677C16">
      <w:pPr>
        <w:pStyle w:val="ListParagraph"/>
        <w:numPr>
          <w:ilvl w:val="1"/>
          <w:numId w:val="5"/>
        </w:numPr>
        <w:snapToGrid w:val="0"/>
        <w:spacing w:line="240" w:lineRule="exact"/>
        <w:ind w:leftChars="0"/>
        <w:jc w:val="both"/>
        <w:rPr>
          <w:rFonts w:ascii="Tahoma" w:eastAsia="標楷體" w:hAnsi="Tahoma" w:cs="Tahoma"/>
          <w:bCs/>
          <w:sz w:val="20"/>
          <w:szCs w:val="20"/>
        </w:rPr>
      </w:pPr>
      <w:r w:rsidRPr="004853E7">
        <w:rPr>
          <w:rFonts w:ascii="Tahoma" w:eastAsia="標楷體" w:hAnsi="Tahoma" w:cs="Tahoma"/>
          <w:sz w:val="20"/>
          <w:szCs w:val="20"/>
        </w:rPr>
        <w:t xml:space="preserve">Specimen of “Guidelines Governing Anti-Money Laundering and </w:t>
      </w:r>
      <w:r w:rsidR="00644C7F" w:rsidRPr="004853E7">
        <w:rPr>
          <w:rFonts w:ascii="Tahoma" w:eastAsia="標楷體" w:hAnsi="Tahoma" w:cs="Tahoma"/>
          <w:sz w:val="20"/>
          <w:szCs w:val="20"/>
        </w:rPr>
        <w:t>Combating</w:t>
      </w:r>
      <w:r w:rsidRPr="004853E7">
        <w:rPr>
          <w:rFonts w:ascii="Tahoma" w:eastAsia="標楷體" w:hAnsi="Tahoma" w:cs="Tahoma"/>
          <w:sz w:val="20"/>
          <w:szCs w:val="20"/>
        </w:rPr>
        <w:t xml:space="preserve"> the Financing of Terrorism by the Banking Sector”</w:t>
      </w:r>
      <w:r w:rsidR="00E133F2" w:rsidRPr="004853E7">
        <w:rPr>
          <w:rFonts w:ascii="Tahoma" w:eastAsia="標楷體" w:hAnsi="Tahoma" w:cs="Tahoma"/>
          <w:sz w:val="20"/>
          <w:szCs w:val="20"/>
        </w:rPr>
        <w:t xml:space="preserve"> </w:t>
      </w:r>
      <w:r w:rsidRPr="004853E7">
        <w:rPr>
          <w:rFonts w:ascii="Tahoma" w:eastAsia="標楷體" w:hAnsi="Tahoma" w:cs="Tahoma"/>
          <w:sz w:val="20"/>
          <w:szCs w:val="20"/>
        </w:rPr>
        <w:t>Bank Association, ROC</w:t>
      </w:r>
      <w:r w:rsidR="00A72000" w:rsidRPr="004853E7">
        <w:rPr>
          <w:rFonts w:ascii="Tahoma" w:eastAsia="標楷體" w:hAnsi="Tahoma" w:cs="Tahoma"/>
          <w:sz w:val="20"/>
          <w:szCs w:val="20"/>
        </w:rPr>
        <w:t>.</w:t>
      </w:r>
    </w:p>
    <w:p w14:paraId="56E36471" w14:textId="00859A7C" w:rsidR="002E7696" w:rsidRPr="004853E7" w:rsidRDefault="00CF74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bCs/>
          <w:sz w:val="20"/>
          <w:szCs w:val="20"/>
        </w:rPr>
      </w:pPr>
      <w:bookmarkStart w:id="6" w:name="_Toc142480915"/>
      <w:bookmarkStart w:id="7" w:name="_Toc142484944"/>
      <w:r w:rsidRPr="004853E7">
        <w:rPr>
          <w:rFonts w:ascii="Tahoma" w:eastAsia="標楷體" w:hAnsi="Tahoma" w:cs="Tahoma"/>
          <w:bCs/>
          <w:sz w:val="20"/>
          <w:szCs w:val="20"/>
        </w:rPr>
        <w:t>Elements of policies and procedures</w:t>
      </w:r>
      <w:bookmarkEnd w:id="6"/>
      <w:bookmarkEnd w:id="7"/>
    </w:p>
    <w:p w14:paraId="6C911AFA" w14:textId="77777777" w:rsidR="00621829" w:rsidRPr="004853E7" w:rsidRDefault="00621829" w:rsidP="00677C16">
      <w:pPr>
        <w:snapToGrid w:val="0"/>
        <w:spacing w:line="240" w:lineRule="exact"/>
        <w:jc w:val="both"/>
        <w:rPr>
          <w:rFonts w:ascii="Tahoma" w:eastAsia="標楷體" w:hAnsi="Tahoma" w:cs="Tahoma"/>
          <w:sz w:val="20"/>
          <w:szCs w:val="20"/>
        </w:rPr>
      </w:pPr>
    </w:p>
    <w:p w14:paraId="15C4DBC3" w14:textId="77777777" w:rsidR="00D73919" w:rsidRPr="004853E7" w:rsidRDefault="00D73919" w:rsidP="00677C16">
      <w:pPr>
        <w:snapToGrid w:val="0"/>
        <w:spacing w:line="240" w:lineRule="exact"/>
        <w:jc w:val="both"/>
        <w:rPr>
          <w:rFonts w:ascii="Tahoma" w:eastAsia="標楷體" w:hAnsi="Tahoma" w:cs="Tahoma"/>
          <w:bCs/>
          <w:sz w:val="20"/>
          <w:szCs w:val="20"/>
        </w:rPr>
      </w:pPr>
      <w:r w:rsidRPr="004853E7">
        <w:rPr>
          <w:rFonts w:ascii="Tahoma" w:eastAsia="標楷體" w:hAnsi="Tahoma" w:cs="Tahoma"/>
          <w:sz w:val="20"/>
          <w:szCs w:val="20"/>
        </w:rPr>
        <w:t xml:space="preserve">The Bank shall develop and implement the policies, procedures and internal control measures related to money laundering and financing of terrorism, “ML/FT”, that are efficient and </w:t>
      </w:r>
      <w:r w:rsidR="0051224C" w:rsidRPr="004853E7">
        <w:rPr>
          <w:rFonts w:ascii="Tahoma" w:eastAsia="標楷體" w:hAnsi="Tahoma" w:cs="Tahoma"/>
          <w:sz w:val="20"/>
          <w:szCs w:val="20"/>
        </w:rPr>
        <w:t>commensurate with its</w:t>
      </w:r>
      <w:r w:rsidRPr="004853E7">
        <w:rPr>
          <w:rFonts w:ascii="Tahoma" w:eastAsia="標楷體" w:hAnsi="Tahoma" w:cs="Tahoma"/>
          <w:sz w:val="20"/>
          <w:szCs w:val="20"/>
        </w:rPr>
        <w:t xml:space="preserve"> nature and size. The policies, procedures and internal control measures shall include:</w:t>
      </w:r>
    </w:p>
    <w:p w14:paraId="3C2F93E5" w14:textId="443E2341" w:rsidR="00545DEA" w:rsidRPr="004853E7" w:rsidRDefault="0029443D" w:rsidP="00677C16">
      <w:pPr>
        <w:pStyle w:val="ListParagraph"/>
        <w:numPr>
          <w:ilvl w:val="1"/>
          <w:numId w:val="5"/>
        </w:numPr>
        <w:snapToGrid w:val="0"/>
        <w:spacing w:line="240" w:lineRule="exact"/>
        <w:ind w:leftChars="0"/>
        <w:jc w:val="both"/>
        <w:rPr>
          <w:rFonts w:ascii="Tahoma" w:eastAsia="標楷體" w:hAnsi="Tahoma" w:cs="Tahoma"/>
          <w:sz w:val="20"/>
          <w:szCs w:val="20"/>
        </w:rPr>
      </w:pPr>
      <w:r>
        <w:rPr>
          <w:rFonts w:ascii="Tahoma" w:eastAsia="標楷體" w:hAnsi="Tahoma" w:cs="Tahoma"/>
          <w:sz w:val="20"/>
          <w:szCs w:val="20"/>
        </w:rPr>
        <w:t>O</w:t>
      </w:r>
      <w:r w:rsidR="00545DEA" w:rsidRPr="004853E7">
        <w:rPr>
          <w:rFonts w:ascii="Tahoma" w:eastAsia="標楷體" w:hAnsi="Tahoma" w:cs="Tahoma"/>
          <w:sz w:val="20"/>
          <w:szCs w:val="20"/>
        </w:rPr>
        <w:t>verall risk assessment;</w:t>
      </w:r>
    </w:p>
    <w:p w14:paraId="084979AF" w14:textId="1EDB4709" w:rsidR="00441E88" w:rsidRPr="004853E7" w:rsidRDefault="0029443D" w:rsidP="00677C16">
      <w:pPr>
        <w:pStyle w:val="ListParagraph"/>
        <w:numPr>
          <w:ilvl w:val="1"/>
          <w:numId w:val="5"/>
        </w:numPr>
        <w:snapToGrid w:val="0"/>
        <w:spacing w:line="240" w:lineRule="exact"/>
        <w:ind w:leftChars="0"/>
        <w:jc w:val="both"/>
        <w:rPr>
          <w:rFonts w:ascii="Tahoma" w:eastAsia="標楷體" w:hAnsi="Tahoma" w:cs="Tahoma"/>
          <w:sz w:val="20"/>
          <w:szCs w:val="20"/>
        </w:rPr>
      </w:pPr>
      <w:r>
        <w:rPr>
          <w:rFonts w:ascii="Tahoma" w:eastAsia="標楷體" w:hAnsi="Tahoma" w:cs="Tahoma"/>
          <w:sz w:val="20"/>
          <w:szCs w:val="20"/>
        </w:rPr>
        <w:t>C</w:t>
      </w:r>
      <w:r w:rsidR="00441E88" w:rsidRPr="004853E7">
        <w:rPr>
          <w:rFonts w:ascii="Tahoma" w:eastAsia="標楷體" w:hAnsi="Tahoma" w:cs="Tahoma"/>
          <w:sz w:val="20"/>
          <w:szCs w:val="20"/>
        </w:rPr>
        <w:t xml:space="preserve">ustomer acceptance policy; </w:t>
      </w:r>
    </w:p>
    <w:p w14:paraId="05CDD89D" w14:textId="5D40F69D" w:rsidR="00D73919" w:rsidRPr="004853E7" w:rsidRDefault="0029443D" w:rsidP="00677C16">
      <w:pPr>
        <w:pStyle w:val="ListParagraph"/>
        <w:numPr>
          <w:ilvl w:val="1"/>
          <w:numId w:val="5"/>
        </w:numPr>
        <w:snapToGrid w:val="0"/>
        <w:spacing w:line="240" w:lineRule="exact"/>
        <w:ind w:leftChars="0"/>
        <w:jc w:val="both"/>
        <w:rPr>
          <w:rFonts w:ascii="Tahoma" w:eastAsia="標楷體" w:hAnsi="Tahoma" w:cs="Tahoma"/>
          <w:sz w:val="20"/>
          <w:szCs w:val="20"/>
        </w:rPr>
      </w:pPr>
      <w:r>
        <w:rPr>
          <w:rFonts w:ascii="Tahoma" w:eastAsia="標楷體" w:hAnsi="Tahoma" w:cs="Tahoma"/>
          <w:sz w:val="20"/>
          <w:szCs w:val="20"/>
        </w:rPr>
        <w:t>D</w:t>
      </w:r>
      <w:r w:rsidR="00441E88" w:rsidRPr="004853E7">
        <w:rPr>
          <w:rFonts w:ascii="Tahoma" w:eastAsia="標楷體" w:hAnsi="Tahoma" w:cs="Tahoma"/>
          <w:sz w:val="20"/>
          <w:szCs w:val="20"/>
        </w:rPr>
        <w:t>ue diligence towards customer</w:t>
      </w:r>
      <w:r w:rsidR="007E4D93" w:rsidRPr="004853E7">
        <w:rPr>
          <w:rFonts w:ascii="Tahoma" w:eastAsia="標楷體" w:hAnsi="Tahoma" w:cs="Tahoma"/>
          <w:sz w:val="20"/>
          <w:szCs w:val="20"/>
        </w:rPr>
        <w:t>s</w:t>
      </w:r>
      <w:r w:rsidR="00441E88" w:rsidRPr="004853E7">
        <w:rPr>
          <w:rFonts w:ascii="Tahoma" w:eastAsia="標楷體" w:hAnsi="Tahoma" w:cs="Tahoma"/>
          <w:sz w:val="20"/>
          <w:szCs w:val="20"/>
        </w:rPr>
        <w:t xml:space="preserve"> and transactions;</w:t>
      </w:r>
    </w:p>
    <w:p w14:paraId="44FBAEB1" w14:textId="2041D6C7" w:rsidR="00441E88" w:rsidRPr="004853E7" w:rsidRDefault="0029443D" w:rsidP="00677C16">
      <w:pPr>
        <w:pStyle w:val="ListParagraph"/>
        <w:numPr>
          <w:ilvl w:val="1"/>
          <w:numId w:val="5"/>
        </w:numPr>
        <w:snapToGrid w:val="0"/>
        <w:spacing w:line="240" w:lineRule="exact"/>
        <w:ind w:leftChars="0"/>
        <w:jc w:val="both"/>
        <w:rPr>
          <w:rFonts w:ascii="Tahoma" w:eastAsia="標楷體" w:hAnsi="Tahoma" w:cs="Tahoma"/>
          <w:sz w:val="20"/>
          <w:szCs w:val="20"/>
        </w:rPr>
      </w:pPr>
      <w:r>
        <w:rPr>
          <w:rFonts w:ascii="Tahoma" w:eastAsia="標楷體" w:hAnsi="Tahoma" w:cs="Tahoma"/>
          <w:sz w:val="20"/>
          <w:szCs w:val="20"/>
        </w:rPr>
        <w:t>R</w:t>
      </w:r>
      <w:r w:rsidR="00441E88" w:rsidRPr="004853E7">
        <w:rPr>
          <w:rFonts w:ascii="Tahoma" w:eastAsia="標楷體" w:hAnsi="Tahoma" w:cs="Tahoma"/>
          <w:sz w:val="20"/>
          <w:szCs w:val="20"/>
        </w:rPr>
        <w:t>eporting of suspicions</w:t>
      </w:r>
      <w:r w:rsidR="00545DEA" w:rsidRPr="004853E7">
        <w:rPr>
          <w:rFonts w:ascii="Tahoma" w:eastAsia="標楷體" w:hAnsi="Tahoma" w:cs="Tahoma"/>
          <w:sz w:val="20"/>
          <w:szCs w:val="20"/>
        </w:rPr>
        <w:t>;</w:t>
      </w:r>
    </w:p>
    <w:p w14:paraId="066983DC" w14:textId="18D95FCB" w:rsidR="00441E88" w:rsidRPr="004853E7" w:rsidRDefault="0029443D" w:rsidP="00677C16">
      <w:pPr>
        <w:pStyle w:val="ListParagraph"/>
        <w:numPr>
          <w:ilvl w:val="1"/>
          <w:numId w:val="5"/>
        </w:numPr>
        <w:snapToGrid w:val="0"/>
        <w:spacing w:line="240" w:lineRule="exact"/>
        <w:ind w:leftChars="0"/>
        <w:jc w:val="both"/>
        <w:rPr>
          <w:rFonts w:ascii="Tahoma" w:eastAsia="標楷體" w:hAnsi="Tahoma" w:cs="Tahoma"/>
          <w:sz w:val="20"/>
          <w:szCs w:val="20"/>
        </w:rPr>
      </w:pPr>
      <w:r>
        <w:rPr>
          <w:rFonts w:ascii="Tahoma" w:eastAsia="標楷體" w:hAnsi="Tahoma" w:cs="Tahoma"/>
          <w:sz w:val="20"/>
          <w:szCs w:val="20"/>
        </w:rPr>
        <w:t>R</w:t>
      </w:r>
      <w:r w:rsidR="00441E88" w:rsidRPr="004853E7">
        <w:rPr>
          <w:rFonts w:ascii="Tahoma" w:eastAsia="標楷體" w:hAnsi="Tahoma" w:cs="Tahoma"/>
          <w:sz w:val="20"/>
          <w:szCs w:val="20"/>
        </w:rPr>
        <w:t>ecord-keeping;</w:t>
      </w:r>
    </w:p>
    <w:p w14:paraId="18F4544F" w14:textId="663CBDDE" w:rsidR="00545DEA" w:rsidRPr="004853E7" w:rsidRDefault="0029443D" w:rsidP="00677C16">
      <w:pPr>
        <w:pStyle w:val="ListParagraph"/>
        <w:numPr>
          <w:ilvl w:val="1"/>
          <w:numId w:val="5"/>
        </w:numPr>
        <w:snapToGrid w:val="0"/>
        <w:spacing w:line="240" w:lineRule="exact"/>
        <w:ind w:leftChars="0"/>
        <w:jc w:val="both"/>
        <w:rPr>
          <w:rFonts w:ascii="Tahoma" w:eastAsia="標楷體" w:hAnsi="Tahoma" w:cs="Tahoma"/>
          <w:sz w:val="20"/>
          <w:szCs w:val="20"/>
        </w:rPr>
      </w:pPr>
      <w:r>
        <w:rPr>
          <w:rFonts w:ascii="Tahoma" w:eastAsia="標楷體" w:hAnsi="Tahoma" w:cs="Tahoma"/>
          <w:sz w:val="20"/>
          <w:szCs w:val="20"/>
        </w:rPr>
        <w:t>A</w:t>
      </w:r>
      <w:r w:rsidR="00545DEA" w:rsidRPr="004853E7">
        <w:rPr>
          <w:rFonts w:ascii="Tahoma" w:eastAsia="標楷體" w:hAnsi="Tahoma" w:cs="Tahoma"/>
          <w:sz w:val="20"/>
          <w:szCs w:val="20"/>
        </w:rPr>
        <w:t>ppointment of Anti-Money Lau</w:t>
      </w:r>
      <w:r w:rsidR="005769AD" w:rsidRPr="004853E7">
        <w:rPr>
          <w:rFonts w:ascii="Tahoma" w:eastAsia="標楷體" w:hAnsi="Tahoma" w:cs="Tahoma"/>
          <w:sz w:val="20"/>
          <w:szCs w:val="20"/>
        </w:rPr>
        <w:t>n</w:t>
      </w:r>
      <w:r w:rsidR="00545DEA" w:rsidRPr="004853E7">
        <w:rPr>
          <w:rFonts w:ascii="Tahoma" w:eastAsia="標楷體" w:hAnsi="Tahoma" w:cs="Tahoma"/>
          <w:sz w:val="20"/>
          <w:szCs w:val="20"/>
        </w:rPr>
        <w:t>dering Compliance Officer, AML</w:t>
      </w:r>
      <w:r w:rsidR="005B20DD" w:rsidRPr="004853E7">
        <w:rPr>
          <w:rFonts w:ascii="Tahoma" w:eastAsia="標楷體" w:hAnsi="Tahoma" w:cs="Tahoma"/>
          <w:sz w:val="20"/>
          <w:szCs w:val="20"/>
        </w:rPr>
        <w:t>CO</w:t>
      </w:r>
      <w:r w:rsidR="00132768" w:rsidRPr="004853E7">
        <w:rPr>
          <w:rFonts w:ascii="Tahoma" w:eastAsia="標楷體" w:hAnsi="Tahoma" w:cs="Tahoma"/>
          <w:sz w:val="20"/>
          <w:szCs w:val="20"/>
        </w:rPr>
        <w:t xml:space="preserve"> </w:t>
      </w:r>
      <w:r w:rsidR="005769AD" w:rsidRPr="004853E7">
        <w:rPr>
          <w:rFonts w:ascii="Tahoma" w:eastAsia="標楷體" w:hAnsi="Tahoma" w:cs="Tahoma"/>
          <w:sz w:val="20"/>
          <w:szCs w:val="20"/>
        </w:rPr>
        <w:t>and of Member within Management Committee to be responsible for supervising the implementation of and</w:t>
      </w:r>
      <w:r w:rsidR="00A86E4C" w:rsidRPr="004853E7">
        <w:rPr>
          <w:rFonts w:ascii="Tahoma" w:eastAsia="標楷體" w:hAnsi="Tahoma" w:cs="Tahoma"/>
          <w:sz w:val="20"/>
          <w:szCs w:val="20"/>
        </w:rPr>
        <w:t xml:space="preserve"> the</w:t>
      </w:r>
      <w:r w:rsidR="00FD1BE8" w:rsidRPr="004853E7">
        <w:rPr>
          <w:rFonts w:ascii="Tahoma" w:eastAsia="標楷體" w:hAnsi="Tahoma" w:cs="Tahoma"/>
          <w:sz w:val="20"/>
          <w:szCs w:val="20"/>
        </w:rPr>
        <w:t xml:space="preserve"> </w:t>
      </w:r>
      <w:r w:rsidR="005769AD" w:rsidRPr="004853E7">
        <w:rPr>
          <w:rFonts w:ascii="Tahoma" w:eastAsia="標楷體" w:hAnsi="Tahoma" w:cs="Tahoma"/>
          <w:sz w:val="20"/>
          <w:szCs w:val="20"/>
        </w:rPr>
        <w:t>compliance with the provision of the AML Law of 18 September 201</w:t>
      </w:r>
      <w:r w:rsidR="006C5E02" w:rsidRPr="004853E7">
        <w:rPr>
          <w:rFonts w:ascii="Tahoma" w:eastAsia="標楷體" w:hAnsi="Tahoma" w:cs="Tahoma" w:hint="eastAsia"/>
          <w:sz w:val="20"/>
          <w:szCs w:val="20"/>
        </w:rPr>
        <w:t>7</w:t>
      </w:r>
      <w:r w:rsidR="00FD08F3" w:rsidRPr="004853E7">
        <w:rPr>
          <w:rFonts w:ascii="Tahoma" w:eastAsia="標楷體" w:hAnsi="Tahoma" w:cs="Tahoma"/>
          <w:sz w:val="20"/>
          <w:szCs w:val="20"/>
        </w:rPr>
        <w:t xml:space="preserve"> </w:t>
      </w:r>
    </w:p>
    <w:p w14:paraId="705315D1" w14:textId="271FF5E0" w:rsidR="00A86E4C" w:rsidRPr="004853E7" w:rsidRDefault="00A86E4C"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4853E7">
        <w:rPr>
          <w:rFonts w:ascii="Tahoma" w:eastAsia="標楷體" w:hAnsi="Tahoma" w:cs="Tahoma"/>
          <w:sz w:val="20"/>
          <w:szCs w:val="20"/>
        </w:rPr>
        <w:t>AML “whis</w:t>
      </w:r>
      <w:r w:rsidR="000B6B4C" w:rsidRPr="004853E7">
        <w:rPr>
          <w:rFonts w:ascii="Tahoma" w:eastAsia="標楷體" w:hAnsi="Tahoma" w:cs="Tahoma"/>
          <w:sz w:val="20"/>
          <w:szCs w:val="20"/>
        </w:rPr>
        <w:t>t</w:t>
      </w:r>
      <w:r w:rsidRPr="004853E7">
        <w:rPr>
          <w:rFonts w:ascii="Tahoma" w:eastAsia="標楷體" w:hAnsi="Tahoma" w:cs="Tahoma"/>
          <w:sz w:val="20"/>
          <w:szCs w:val="20"/>
        </w:rPr>
        <w:t>le blowing” procedure</w:t>
      </w:r>
      <w:r w:rsidR="00FD08F3" w:rsidRPr="004853E7">
        <w:rPr>
          <w:rFonts w:ascii="Tahoma" w:eastAsia="標楷體" w:hAnsi="Tahoma" w:cs="Tahoma"/>
          <w:sz w:val="20"/>
          <w:szCs w:val="20"/>
        </w:rPr>
        <w:t xml:space="preserve"> </w:t>
      </w:r>
    </w:p>
    <w:p w14:paraId="3E78D8D4" w14:textId="77777777" w:rsidR="00D73919" w:rsidRPr="004853E7" w:rsidRDefault="00441E88"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lastRenderedPageBreak/>
        <w:t>Training;</w:t>
      </w:r>
    </w:p>
    <w:p w14:paraId="3D23180E" w14:textId="434CE6A8" w:rsidR="00D73919" w:rsidRPr="004853E7" w:rsidRDefault="0097249F"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Pr>
          <w:rFonts w:ascii="Tahoma" w:eastAsia="標楷體" w:hAnsi="Tahoma" w:cs="Tahoma"/>
          <w:sz w:val="20"/>
          <w:szCs w:val="20"/>
        </w:rPr>
        <w:t>C</w:t>
      </w:r>
      <w:r w:rsidR="00A5346F" w:rsidRPr="004853E7">
        <w:rPr>
          <w:rFonts w:ascii="Tahoma" w:eastAsia="標楷體" w:hAnsi="Tahoma" w:cs="Tahoma"/>
          <w:sz w:val="20"/>
          <w:szCs w:val="20"/>
        </w:rPr>
        <w:t>ross-bor</w:t>
      </w:r>
      <w:r w:rsidR="00441E88" w:rsidRPr="004853E7">
        <w:rPr>
          <w:rFonts w:ascii="Tahoma" w:eastAsia="標楷體" w:hAnsi="Tahoma" w:cs="Tahoma"/>
          <w:sz w:val="20"/>
          <w:szCs w:val="20"/>
        </w:rPr>
        <w:t>der</w:t>
      </w:r>
      <w:r w:rsidR="00FD1BE8" w:rsidRPr="004853E7">
        <w:rPr>
          <w:rFonts w:ascii="Tahoma" w:eastAsia="標楷體" w:hAnsi="Tahoma" w:cs="Tahoma"/>
          <w:sz w:val="20"/>
          <w:szCs w:val="20"/>
        </w:rPr>
        <w:t xml:space="preserve"> </w:t>
      </w:r>
      <w:r w:rsidR="00441E88" w:rsidRPr="004853E7">
        <w:rPr>
          <w:rFonts w:ascii="Tahoma" w:eastAsia="標楷體" w:hAnsi="Tahoma" w:cs="Tahoma"/>
          <w:sz w:val="20"/>
          <w:szCs w:val="20"/>
        </w:rPr>
        <w:t>Corre</w:t>
      </w:r>
      <w:r w:rsidR="00A5346F" w:rsidRPr="004853E7">
        <w:rPr>
          <w:rFonts w:ascii="Tahoma" w:eastAsia="標楷體" w:hAnsi="Tahoma" w:cs="Tahoma"/>
          <w:sz w:val="20"/>
          <w:szCs w:val="20"/>
        </w:rPr>
        <w:t>s</w:t>
      </w:r>
      <w:r w:rsidR="00441E88" w:rsidRPr="004853E7">
        <w:rPr>
          <w:rFonts w:ascii="Tahoma" w:eastAsia="標楷體" w:hAnsi="Tahoma" w:cs="Tahoma"/>
          <w:sz w:val="20"/>
          <w:szCs w:val="20"/>
        </w:rPr>
        <w:t>pondent</w:t>
      </w:r>
      <w:r w:rsidR="00FD1BE8" w:rsidRPr="004853E7">
        <w:rPr>
          <w:rFonts w:ascii="Tahoma" w:eastAsia="標楷體" w:hAnsi="Tahoma" w:cs="Tahoma"/>
          <w:sz w:val="20"/>
          <w:szCs w:val="20"/>
        </w:rPr>
        <w:t xml:space="preserve"> </w:t>
      </w:r>
      <w:r w:rsidR="005769AD" w:rsidRPr="004853E7">
        <w:rPr>
          <w:rFonts w:ascii="Tahoma" w:eastAsia="標楷體" w:hAnsi="Tahoma" w:cs="Tahoma"/>
          <w:sz w:val="20"/>
          <w:szCs w:val="20"/>
        </w:rPr>
        <w:t>Bank</w:t>
      </w:r>
      <w:r w:rsidR="00AB48A5" w:rsidRPr="004853E7">
        <w:rPr>
          <w:rFonts w:ascii="Tahoma" w:eastAsia="標楷體" w:hAnsi="Tahoma" w:cs="Tahoma" w:hint="eastAsia"/>
          <w:sz w:val="20"/>
          <w:szCs w:val="20"/>
        </w:rPr>
        <w:t>ing</w:t>
      </w:r>
      <w:r w:rsidR="00FD1BE8" w:rsidRPr="004853E7">
        <w:rPr>
          <w:rFonts w:ascii="Tahoma" w:eastAsia="標楷體" w:hAnsi="Tahoma" w:cs="Tahoma"/>
          <w:sz w:val="20"/>
          <w:szCs w:val="20"/>
        </w:rPr>
        <w:t xml:space="preserve"> </w:t>
      </w:r>
      <w:r w:rsidR="00441E88" w:rsidRPr="004853E7">
        <w:rPr>
          <w:rFonts w:ascii="Tahoma" w:eastAsia="標楷體" w:hAnsi="Tahoma" w:cs="Tahoma"/>
          <w:sz w:val="20"/>
          <w:szCs w:val="20"/>
        </w:rPr>
        <w:t>relationships</w:t>
      </w:r>
      <w:r w:rsidR="008B0D5C" w:rsidRPr="004853E7">
        <w:rPr>
          <w:rFonts w:ascii="Tahoma" w:eastAsia="標楷體" w:hAnsi="Tahoma" w:cs="Tahoma"/>
          <w:sz w:val="20"/>
          <w:szCs w:val="20"/>
        </w:rPr>
        <w:t xml:space="preserve"> (</w:t>
      </w:r>
      <w:r w:rsidR="00F203BA" w:rsidRPr="004853E7">
        <w:rPr>
          <w:rFonts w:ascii="Tahoma" w:eastAsia="標楷體" w:hAnsi="Tahoma" w:cs="Tahoma"/>
          <w:sz w:val="20"/>
          <w:szCs w:val="20"/>
        </w:rPr>
        <w:t xml:space="preserve">Please </w:t>
      </w:r>
      <w:r w:rsidR="008B0D5C" w:rsidRPr="004853E7">
        <w:rPr>
          <w:rFonts w:ascii="Tahoma" w:eastAsia="標楷體" w:hAnsi="Tahoma" w:cs="Tahoma"/>
          <w:sz w:val="20"/>
          <w:szCs w:val="20"/>
        </w:rPr>
        <w:t>refer</w:t>
      </w:r>
      <w:r w:rsidR="00FD1BE8" w:rsidRPr="004853E7">
        <w:rPr>
          <w:rFonts w:ascii="Tahoma" w:eastAsia="標楷體" w:hAnsi="Tahoma" w:cs="Tahoma"/>
          <w:sz w:val="20"/>
          <w:szCs w:val="20"/>
        </w:rPr>
        <w:t xml:space="preserve"> </w:t>
      </w:r>
      <w:r w:rsidR="00F83CDE" w:rsidRPr="004853E7">
        <w:rPr>
          <w:rFonts w:ascii="Tahoma" w:eastAsia="標楷體" w:hAnsi="Tahoma" w:cs="Tahoma"/>
          <w:sz w:val="20"/>
          <w:szCs w:val="20"/>
          <w:lang w:eastAsia="zh-HK"/>
        </w:rPr>
        <w:t xml:space="preserve">to </w:t>
      </w:r>
      <w:r w:rsidR="00F203BA" w:rsidRPr="004853E7">
        <w:rPr>
          <w:rFonts w:ascii="Tahoma" w:eastAsia="標楷體" w:hAnsi="Tahoma" w:cs="Tahoma"/>
          <w:sz w:val="20"/>
          <w:szCs w:val="20"/>
        </w:rPr>
        <w:t xml:space="preserve">5 </w:t>
      </w:r>
      <w:r w:rsidR="001A66CB" w:rsidRPr="004853E7">
        <w:rPr>
          <w:rFonts w:ascii="Tahoma" w:eastAsia="標楷體" w:hAnsi="Tahoma" w:cs="Tahoma"/>
          <w:sz w:val="20"/>
          <w:szCs w:val="20"/>
        </w:rPr>
        <w:t xml:space="preserve">Cross-border correspondent banking of the </w:t>
      </w:r>
      <w:r w:rsidR="00F203BA" w:rsidRPr="004853E7">
        <w:rPr>
          <w:rFonts w:ascii="Tahoma" w:eastAsia="標楷體" w:hAnsi="Tahoma" w:cs="Tahoma"/>
          <w:sz w:val="20"/>
          <w:szCs w:val="20"/>
        </w:rPr>
        <w:t>“</w:t>
      </w:r>
      <w:r w:rsidR="001A66CB" w:rsidRPr="004853E7">
        <w:rPr>
          <w:rFonts w:ascii="Tahoma" w:eastAsia="標楷體" w:hAnsi="Tahoma" w:cs="Tahoma"/>
          <w:sz w:val="20"/>
          <w:szCs w:val="20"/>
        </w:rPr>
        <w:t>Guidelines for Deposit and Remittance activities of United Taiwan Bank</w:t>
      </w:r>
      <w:r w:rsidR="00F203BA" w:rsidRPr="004853E7">
        <w:rPr>
          <w:rFonts w:ascii="Tahoma" w:eastAsia="標楷體" w:hAnsi="Tahoma" w:cs="Tahoma"/>
          <w:sz w:val="20"/>
          <w:szCs w:val="20"/>
        </w:rPr>
        <w:t>”</w:t>
      </w:r>
      <w:r w:rsidR="008B0D5C" w:rsidRPr="004853E7">
        <w:rPr>
          <w:rFonts w:ascii="Tahoma" w:eastAsia="標楷體" w:hAnsi="Tahoma" w:cs="Tahoma"/>
          <w:sz w:val="20"/>
          <w:szCs w:val="20"/>
        </w:rPr>
        <w:t xml:space="preserve">) </w:t>
      </w:r>
      <w:r w:rsidR="00441E88" w:rsidRPr="004853E7">
        <w:rPr>
          <w:rFonts w:ascii="Tahoma" w:eastAsia="標楷體" w:hAnsi="Tahoma" w:cs="Tahoma"/>
          <w:sz w:val="20"/>
          <w:szCs w:val="20"/>
        </w:rPr>
        <w:t>; and</w:t>
      </w:r>
    </w:p>
    <w:p w14:paraId="065E9F2A" w14:textId="6317E7AE" w:rsidR="00D73919" w:rsidRPr="004853E7" w:rsidRDefault="008E0929"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4853E7">
        <w:rPr>
          <w:rFonts w:ascii="Tahoma" w:eastAsia="標楷體" w:hAnsi="Tahoma" w:cs="Tahoma"/>
          <w:sz w:val="20"/>
          <w:szCs w:val="20"/>
        </w:rPr>
        <w:t>European Regulation on transfers of funds.</w:t>
      </w:r>
      <w:r w:rsidR="005E4830" w:rsidRPr="004853E7">
        <w:rPr>
          <w:rFonts w:ascii="Tahoma" w:eastAsia="標楷體" w:hAnsi="Tahoma" w:cs="Tahoma" w:hint="eastAsia"/>
          <w:sz w:val="20"/>
          <w:szCs w:val="20"/>
        </w:rPr>
        <w:t xml:space="preserve"> </w:t>
      </w:r>
      <w:r w:rsidR="00A86E4C" w:rsidRPr="004853E7">
        <w:rPr>
          <w:rFonts w:ascii="Tahoma" w:eastAsia="標楷體" w:hAnsi="Tahoma" w:cs="Tahoma"/>
          <w:sz w:val="20"/>
          <w:szCs w:val="20"/>
        </w:rPr>
        <w:t>(</w:t>
      </w:r>
      <w:r w:rsidR="00441E88" w:rsidRPr="004853E7">
        <w:rPr>
          <w:rFonts w:ascii="Tahoma" w:eastAsia="標楷體" w:hAnsi="Tahoma" w:cs="Tahoma"/>
          <w:sz w:val="20"/>
          <w:szCs w:val="20"/>
        </w:rPr>
        <w:t xml:space="preserve">European Regulation </w:t>
      </w:r>
      <w:r w:rsidR="00FD08F3" w:rsidRPr="004853E7">
        <w:rPr>
          <w:rFonts w:ascii="Tahoma" w:eastAsia="標楷體" w:hAnsi="Tahoma" w:cs="Tahoma"/>
          <w:sz w:val="20"/>
          <w:szCs w:val="20"/>
        </w:rPr>
        <w:t xml:space="preserve">(EU) </w:t>
      </w:r>
      <w:r w:rsidR="00A86E4C" w:rsidRPr="004853E7">
        <w:rPr>
          <w:rFonts w:ascii="Tahoma" w:eastAsia="標楷體" w:hAnsi="Tahoma" w:cs="Tahoma"/>
          <w:sz w:val="20"/>
          <w:szCs w:val="20"/>
        </w:rPr>
        <w:t>2015/847</w:t>
      </w:r>
      <w:r w:rsidR="00B8427C" w:rsidRPr="004853E7">
        <w:rPr>
          <w:rFonts w:ascii="Tahoma" w:eastAsia="標楷體" w:hAnsi="Tahoma" w:cs="Tahoma"/>
          <w:sz w:val="20"/>
          <w:szCs w:val="20"/>
        </w:rPr>
        <w:t xml:space="preserve">, </w:t>
      </w:r>
      <w:r w:rsidR="00B8427C" w:rsidRPr="004853E7">
        <w:rPr>
          <w:rFonts w:ascii="Tahoma" w:eastAsia="標楷體" w:hAnsi="Tahoma" w:cs="Tahoma"/>
          <w:sz w:val="20"/>
          <w:szCs w:val="20"/>
          <w:lang w:eastAsia="zh-HK"/>
        </w:rPr>
        <w:t xml:space="preserve">and </w:t>
      </w:r>
      <w:r w:rsidR="001A66CB" w:rsidRPr="004853E7">
        <w:rPr>
          <w:rFonts w:ascii="Tahoma" w:eastAsia="標楷體" w:hAnsi="Tahoma" w:cs="Tahoma"/>
          <w:sz w:val="20"/>
          <w:szCs w:val="20"/>
        </w:rPr>
        <w:t>refer to 4.5.3 and 4.5.4 of the “Guidelines for Deposit and Remittance activities of United Taiwan Bank”.</w:t>
      </w:r>
      <w:r w:rsidR="008B0D5C" w:rsidRPr="004853E7">
        <w:rPr>
          <w:rFonts w:ascii="Tahoma" w:eastAsia="標楷體" w:hAnsi="Tahoma" w:cs="Tahoma"/>
          <w:sz w:val="20"/>
          <w:szCs w:val="20"/>
        </w:rPr>
        <w:t>)</w:t>
      </w:r>
      <w:r w:rsidR="00FD08F3" w:rsidRPr="004853E7">
        <w:rPr>
          <w:rFonts w:ascii="Tahoma" w:eastAsia="標楷體" w:hAnsi="Tahoma" w:cs="Tahoma"/>
          <w:sz w:val="20"/>
          <w:szCs w:val="20"/>
        </w:rPr>
        <w:t xml:space="preserve"> </w:t>
      </w:r>
    </w:p>
    <w:p w14:paraId="42908A1A" w14:textId="77777777" w:rsidR="00CF74EE" w:rsidRPr="004853E7" w:rsidRDefault="00CF74EE" w:rsidP="00677C16">
      <w:pPr>
        <w:snapToGrid w:val="0"/>
        <w:spacing w:line="240" w:lineRule="exact"/>
        <w:jc w:val="both"/>
        <w:rPr>
          <w:rFonts w:ascii="Tahoma" w:eastAsia="標楷體" w:hAnsi="Tahoma" w:cs="Tahoma"/>
          <w:kern w:val="0"/>
          <w:sz w:val="20"/>
          <w:szCs w:val="20"/>
        </w:rPr>
      </w:pPr>
    </w:p>
    <w:p w14:paraId="770CCC12" w14:textId="1E4B1C7C" w:rsidR="00D73919" w:rsidRPr="004853E7" w:rsidRDefault="00441E88" w:rsidP="00677C16">
      <w:pPr>
        <w:snapToGrid w:val="0"/>
        <w:spacing w:line="240" w:lineRule="exact"/>
        <w:jc w:val="both"/>
        <w:rPr>
          <w:rFonts w:ascii="Tahoma" w:eastAsia="標楷體" w:hAnsi="Tahoma" w:cs="Tahoma"/>
          <w:kern w:val="0"/>
          <w:sz w:val="20"/>
          <w:szCs w:val="20"/>
        </w:rPr>
      </w:pPr>
      <w:r w:rsidRPr="004853E7">
        <w:rPr>
          <w:rFonts w:ascii="Tahoma" w:eastAsia="標楷體" w:hAnsi="Tahoma" w:cs="Tahoma"/>
          <w:kern w:val="0"/>
          <w:sz w:val="20"/>
          <w:szCs w:val="20"/>
        </w:rPr>
        <w:t>The Bank shall submit the policies, procedures and interna</w:t>
      </w:r>
      <w:r w:rsidR="005B20DD" w:rsidRPr="004853E7">
        <w:rPr>
          <w:rFonts w:ascii="Tahoma" w:eastAsia="標楷體" w:hAnsi="Tahoma" w:cs="Tahoma"/>
          <w:kern w:val="0"/>
          <w:sz w:val="20"/>
          <w:szCs w:val="20"/>
        </w:rPr>
        <w:t>l control measures implemented</w:t>
      </w:r>
      <w:r w:rsidRPr="004853E7">
        <w:rPr>
          <w:rFonts w:ascii="Tahoma" w:eastAsia="標楷體" w:hAnsi="Tahoma" w:cs="Tahoma"/>
          <w:kern w:val="0"/>
          <w:sz w:val="20"/>
          <w:szCs w:val="20"/>
        </w:rPr>
        <w:t xml:space="preserve"> to the Management Committee and </w:t>
      </w:r>
      <w:r w:rsidR="00702AB0" w:rsidRPr="004853E7">
        <w:rPr>
          <w:rFonts w:ascii="Tahoma" w:eastAsia="標楷體" w:hAnsi="Tahoma" w:cs="Tahoma"/>
          <w:sz w:val="20"/>
          <w:szCs w:val="20"/>
        </w:rPr>
        <w:t>to</w:t>
      </w:r>
      <w:r w:rsidR="00702AB0" w:rsidRPr="004853E7">
        <w:rPr>
          <w:rFonts w:ascii="Tahoma" w:eastAsia="標楷體" w:hAnsi="Tahoma" w:cs="Tahoma"/>
          <w:kern w:val="0"/>
          <w:sz w:val="20"/>
          <w:szCs w:val="20"/>
        </w:rPr>
        <w:t xml:space="preserve"> </w:t>
      </w:r>
      <w:r w:rsidRPr="004853E7">
        <w:rPr>
          <w:rFonts w:ascii="Tahoma" w:eastAsia="標楷體" w:hAnsi="Tahoma" w:cs="Tahoma"/>
          <w:kern w:val="0"/>
          <w:sz w:val="20"/>
          <w:szCs w:val="20"/>
        </w:rPr>
        <w:t>the Board of Director</w:t>
      </w:r>
      <w:r w:rsidR="00702AB0" w:rsidRPr="004853E7">
        <w:rPr>
          <w:rFonts w:ascii="Tahoma" w:eastAsia="標楷體" w:hAnsi="Tahoma" w:cs="Tahoma"/>
          <w:kern w:val="0"/>
          <w:sz w:val="20"/>
          <w:szCs w:val="20"/>
        </w:rPr>
        <w:t>s</w:t>
      </w:r>
      <w:r w:rsidRPr="004853E7">
        <w:rPr>
          <w:rFonts w:ascii="Tahoma" w:eastAsia="標楷體" w:hAnsi="Tahoma" w:cs="Tahoma"/>
          <w:kern w:val="0"/>
          <w:sz w:val="20"/>
          <w:szCs w:val="20"/>
        </w:rPr>
        <w:t xml:space="preserve"> </w:t>
      </w:r>
      <w:r w:rsidR="005B20DD" w:rsidRPr="004853E7">
        <w:rPr>
          <w:rFonts w:ascii="Tahoma" w:eastAsia="標楷體" w:hAnsi="Tahoma" w:cs="Tahoma"/>
          <w:kern w:val="0"/>
          <w:sz w:val="20"/>
          <w:szCs w:val="20"/>
        </w:rPr>
        <w:t xml:space="preserve">for approval </w:t>
      </w:r>
      <w:r w:rsidRPr="004853E7">
        <w:rPr>
          <w:rFonts w:ascii="Tahoma" w:eastAsia="標楷體" w:hAnsi="Tahoma" w:cs="Tahoma"/>
          <w:kern w:val="0"/>
          <w:sz w:val="20"/>
          <w:szCs w:val="20"/>
        </w:rPr>
        <w:t>pursuant to paragraph 1.</w:t>
      </w:r>
    </w:p>
    <w:p w14:paraId="40FDC91F" w14:textId="77777777" w:rsidR="00621829" w:rsidRPr="004853E7" w:rsidRDefault="00621829" w:rsidP="00677C16">
      <w:pPr>
        <w:snapToGrid w:val="0"/>
        <w:spacing w:line="240" w:lineRule="exact"/>
        <w:jc w:val="both"/>
        <w:rPr>
          <w:rFonts w:ascii="Tahoma" w:eastAsia="標楷體" w:hAnsi="Tahoma" w:cs="Tahoma"/>
          <w:kern w:val="0"/>
          <w:sz w:val="20"/>
          <w:szCs w:val="20"/>
        </w:rPr>
      </w:pPr>
    </w:p>
    <w:p w14:paraId="63198A65" w14:textId="77777777" w:rsidR="00545DEA" w:rsidRPr="004853E7" w:rsidRDefault="00CF1F9D"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bCs/>
          <w:kern w:val="0"/>
          <w:sz w:val="20"/>
          <w:szCs w:val="20"/>
        </w:rPr>
      </w:pPr>
      <w:r w:rsidRPr="004853E7">
        <w:rPr>
          <w:rFonts w:ascii="Tahoma" w:eastAsia="標楷體" w:hAnsi="Tahoma" w:cs="Tahoma"/>
          <w:b/>
          <w:sz w:val="20"/>
          <w:szCs w:val="20"/>
          <w:lang w:eastAsia="zh-HK"/>
        </w:rPr>
        <w:t xml:space="preserve">  </w:t>
      </w:r>
      <w:bookmarkStart w:id="8" w:name="_Toc142480916"/>
      <w:bookmarkStart w:id="9" w:name="_Toc142484945"/>
      <w:r w:rsidR="00545DEA" w:rsidRPr="004853E7">
        <w:rPr>
          <w:rFonts w:ascii="Tahoma" w:eastAsia="標楷體" w:hAnsi="Tahoma" w:cs="Tahoma"/>
          <w:bCs/>
          <w:sz w:val="20"/>
          <w:szCs w:val="20"/>
          <w:lang w:eastAsia="zh-HK"/>
        </w:rPr>
        <w:t>Overall risk assessment</w:t>
      </w:r>
      <w:bookmarkEnd w:id="8"/>
      <w:bookmarkEnd w:id="9"/>
    </w:p>
    <w:p w14:paraId="65DF2040" w14:textId="77777777" w:rsidR="00621829" w:rsidRPr="004853E7" w:rsidRDefault="00621829" w:rsidP="00677C16">
      <w:pPr>
        <w:snapToGrid w:val="0"/>
        <w:spacing w:line="240" w:lineRule="exact"/>
        <w:jc w:val="both"/>
        <w:rPr>
          <w:rFonts w:ascii="Tahoma" w:eastAsia="標楷體" w:hAnsi="Tahoma" w:cs="Tahoma"/>
          <w:kern w:val="0"/>
          <w:sz w:val="20"/>
          <w:szCs w:val="20"/>
        </w:rPr>
      </w:pPr>
    </w:p>
    <w:p w14:paraId="3BE5361B" w14:textId="77777777" w:rsidR="008A2848" w:rsidRPr="004853E7" w:rsidRDefault="008A2848" w:rsidP="00677C16">
      <w:pPr>
        <w:snapToGrid w:val="0"/>
        <w:spacing w:line="240" w:lineRule="exact"/>
        <w:jc w:val="both"/>
        <w:rPr>
          <w:rFonts w:ascii="Tahoma" w:eastAsia="標楷體" w:hAnsi="Tahoma" w:cs="Tahoma"/>
          <w:kern w:val="0"/>
          <w:sz w:val="20"/>
          <w:szCs w:val="20"/>
        </w:rPr>
      </w:pPr>
      <w:r w:rsidRPr="004853E7">
        <w:rPr>
          <w:rFonts w:ascii="Tahoma" w:eastAsia="標楷體" w:hAnsi="Tahoma" w:cs="Tahoma"/>
          <w:kern w:val="0"/>
          <w:sz w:val="20"/>
          <w:szCs w:val="20"/>
        </w:rPr>
        <w:t xml:space="preserve">The Bank shall take measures that are appropriate and commensurate with the nature and the size </w:t>
      </w:r>
      <w:r w:rsidR="00A33421" w:rsidRPr="004853E7">
        <w:rPr>
          <w:rFonts w:ascii="Tahoma" w:eastAsia="標楷體" w:hAnsi="Tahoma" w:cs="Tahoma"/>
          <w:kern w:val="0"/>
          <w:sz w:val="20"/>
          <w:szCs w:val="20"/>
          <w:lang w:eastAsia="zh-HK"/>
        </w:rPr>
        <w:t>of</w:t>
      </w:r>
      <w:r w:rsidR="00A86E4C" w:rsidRPr="004853E7">
        <w:rPr>
          <w:rFonts w:ascii="Tahoma" w:eastAsia="標楷體" w:hAnsi="Tahoma" w:cs="Tahoma"/>
          <w:kern w:val="0"/>
          <w:sz w:val="20"/>
          <w:szCs w:val="20"/>
          <w:lang w:eastAsia="zh-HK"/>
        </w:rPr>
        <w:t xml:space="preserve"> </w:t>
      </w:r>
      <w:r w:rsidR="00A33421" w:rsidRPr="004853E7">
        <w:rPr>
          <w:rFonts w:ascii="Tahoma" w:eastAsia="標楷體" w:hAnsi="Tahoma" w:cs="Tahoma"/>
          <w:kern w:val="0"/>
          <w:sz w:val="20"/>
          <w:szCs w:val="20"/>
        </w:rPr>
        <w:t xml:space="preserve">operations </w:t>
      </w:r>
      <w:r w:rsidRPr="004853E7">
        <w:rPr>
          <w:rFonts w:ascii="Tahoma" w:eastAsia="標楷體" w:hAnsi="Tahoma" w:cs="Tahoma"/>
          <w:kern w:val="0"/>
          <w:sz w:val="20"/>
          <w:szCs w:val="20"/>
        </w:rPr>
        <w:t xml:space="preserve">to identify and assess the ML/FT risks exposed, by taking into account in particular the characteristics of </w:t>
      </w:r>
      <w:r w:rsidR="00A86E4C" w:rsidRPr="004853E7">
        <w:rPr>
          <w:rFonts w:ascii="Tahoma" w:eastAsia="標楷體" w:hAnsi="Tahoma" w:cs="Tahoma"/>
          <w:kern w:val="0"/>
          <w:sz w:val="20"/>
          <w:szCs w:val="20"/>
        </w:rPr>
        <w:t>the</w:t>
      </w:r>
      <w:r w:rsidR="00FD1BE8" w:rsidRPr="004853E7">
        <w:rPr>
          <w:rFonts w:ascii="Tahoma" w:eastAsia="標楷體" w:hAnsi="Tahoma" w:cs="Tahoma"/>
          <w:kern w:val="0"/>
          <w:sz w:val="20"/>
          <w:szCs w:val="20"/>
        </w:rPr>
        <w:t xml:space="preserve"> </w:t>
      </w:r>
      <w:r w:rsidRPr="004853E7">
        <w:rPr>
          <w:rFonts w:ascii="Tahoma" w:eastAsia="標楷體" w:hAnsi="Tahoma" w:cs="Tahoma"/>
          <w:kern w:val="0"/>
          <w:sz w:val="20"/>
          <w:szCs w:val="20"/>
        </w:rPr>
        <w:t>customers, the products, services or transactions offered, the countries or geographical areas concerned and the distribution channels used.</w:t>
      </w:r>
    </w:p>
    <w:p w14:paraId="63597123" w14:textId="77777777" w:rsidR="008A2848" w:rsidRPr="004853E7" w:rsidRDefault="008A2848" w:rsidP="00677C16">
      <w:pPr>
        <w:snapToGrid w:val="0"/>
        <w:spacing w:line="240" w:lineRule="exact"/>
        <w:jc w:val="both"/>
        <w:rPr>
          <w:rFonts w:ascii="Tahoma" w:eastAsia="標楷體" w:hAnsi="Tahoma" w:cs="Tahoma"/>
          <w:kern w:val="0"/>
          <w:sz w:val="20"/>
          <w:szCs w:val="20"/>
        </w:rPr>
      </w:pPr>
      <w:r w:rsidRPr="004853E7">
        <w:rPr>
          <w:rFonts w:ascii="Tahoma" w:eastAsia="標楷體" w:hAnsi="Tahoma" w:cs="Tahoma"/>
          <w:kern w:val="0"/>
          <w:sz w:val="20"/>
          <w:szCs w:val="20"/>
        </w:rPr>
        <w:t>When performing the overall risk assessment referred to in the first paragraph, the Bank shall take into consideration not only all the activities carried out, but also the variables such as the purpose of an account or relationship, the level of assets</w:t>
      </w:r>
      <w:r w:rsidR="00FD1BE8" w:rsidRPr="004853E7">
        <w:rPr>
          <w:rFonts w:ascii="Tahoma" w:eastAsia="標楷體" w:hAnsi="Tahoma" w:cs="Tahoma"/>
          <w:kern w:val="0"/>
          <w:sz w:val="20"/>
          <w:szCs w:val="20"/>
        </w:rPr>
        <w:t xml:space="preserve"> </w:t>
      </w:r>
      <w:r w:rsidRPr="004853E7">
        <w:rPr>
          <w:rFonts w:ascii="Tahoma" w:eastAsia="標楷體" w:hAnsi="Tahoma" w:cs="Tahoma"/>
          <w:kern w:val="0"/>
          <w:sz w:val="20"/>
          <w:szCs w:val="20"/>
        </w:rPr>
        <w:t xml:space="preserve">deposited by a customer or the </w:t>
      </w:r>
      <w:r w:rsidR="00390663" w:rsidRPr="004853E7">
        <w:rPr>
          <w:rFonts w:ascii="Tahoma" w:eastAsia="標楷體" w:hAnsi="Tahoma" w:cs="Tahoma"/>
          <w:kern w:val="0"/>
          <w:sz w:val="20"/>
          <w:szCs w:val="20"/>
        </w:rPr>
        <w:t xml:space="preserve">expected </w:t>
      </w:r>
      <w:r w:rsidRPr="004853E7">
        <w:rPr>
          <w:rFonts w:ascii="Tahoma" w:eastAsia="標楷體" w:hAnsi="Tahoma" w:cs="Tahoma"/>
          <w:kern w:val="0"/>
          <w:sz w:val="20"/>
          <w:szCs w:val="20"/>
        </w:rPr>
        <w:t xml:space="preserve">size of transactions undertaken, and the regularity or duration of the business relationship. The Bank shall also take into account the factors that </w:t>
      </w:r>
      <w:r w:rsidR="001F098D" w:rsidRPr="004853E7">
        <w:rPr>
          <w:rFonts w:ascii="Tahoma" w:eastAsia="標楷體" w:hAnsi="Tahoma" w:cs="Tahoma"/>
          <w:kern w:val="0"/>
          <w:sz w:val="20"/>
          <w:szCs w:val="20"/>
        </w:rPr>
        <w:t xml:space="preserve">are </w:t>
      </w:r>
      <w:r w:rsidRPr="004853E7">
        <w:rPr>
          <w:rFonts w:ascii="Tahoma" w:eastAsia="標楷體" w:hAnsi="Tahoma" w:cs="Tahoma"/>
          <w:kern w:val="0"/>
          <w:sz w:val="20"/>
          <w:szCs w:val="20"/>
        </w:rPr>
        <w:t>indicative of a potentially lower risk or higher risk.</w:t>
      </w:r>
    </w:p>
    <w:p w14:paraId="795648EB" w14:textId="77777777" w:rsidR="008A2848" w:rsidRPr="004853E7" w:rsidRDefault="008A2848" w:rsidP="00677C16">
      <w:pPr>
        <w:snapToGrid w:val="0"/>
        <w:spacing w:line="240" w:lineRule="exact"/>
        <w:jc w:val="both"/>
        <w:rPr>
          <w:rFonts w:ascii="Tahoma" w:eastAsia="標楷體" w:hAnsi="Tahoma" w:cs="Tahoma"/>
          <w:kern w:val="0"/>
          <w:sz w:val="20"/>
          <w:szCs w:val="20"/>
        </w:rPr>
      </w:pPr>
      <w:r w:rsidRPr="004853E7">
        <w:rPr>
          <w:rFonts w:ascii="Tahoma" w:eastAsia="標楷體" w:hAnsi="Tahoma" w:cs="Tahoma"/>
          <w:kern w:val="0"/>
          <w:sz w:val="20"/>
          <w:szCs w:val="20"/>
        </w:rPr>
        <w:t>The overall risk assessment referred in t</w:t>
      </w:r>
      <w:r w:rsidR="000304A6" w:rsidRPr="004853E7">
        <w:rPr>
          <w:rFonts w:ascii="Tahoma" w:eastAsia="標楷體" w:hAnsi="Tahoma" w:cs="Tahoma"/>
          <w:kern w:val="0"/>
          <w:sz w:val="20"/>
          <w:szCs w:val="20"/>
        </w:rPr>
        <w:t xml:space="preserve">he first </w:t>
      </w:r>
      <w:r w:rsidRPr="004853E7">
        <w:rPr>
          <w:rFonts w:ascii="Tahoma" w:eastAsia="標楷體" w:hAnsi="Tahoma" w:cs="Tahoma"/>
          <w:kern w:val="0"/>
          <w:sz w:val="20"/>
          <w:szCs w:val="20"/>
        </w:rPr>
        <w:t>paragraph shall be carried out, documented, updated</w:t>
      </w:r>
      <w:r w:rsidR="00487C2E" w:rsidRPr="004853E7">
        <w:rPr>
          <w:rFonts w:ascii="Tahoma" w:eastAsia="標楷體" w:hAnsi="Tahoma" w:cs="Tahoma"/>
          <w:kern w:val="0"/>
          <w:sz w:val="20"/>
          <w:szCs w:val="20"/>
        </w:rPr>
        <w:t xml:space="preserve">, </w:t>
      </w:r>
      <w:r w:rsidR="00487C2E" w:rsidRPr="004853E7">
        <w:rPr>
          <w:rFonts w:ascii="Tahoma" w:eastAsia="標楷體" w:hAnsi="Tahoma" w:cs="Tahoma"/>
          <w:kern w:val="0"/>
          <w:sz w:val="20"/>
          <w:szCs w:val="20"/>
          <w:lang w:eastAsia="zh-HK"/>
        </w:rPr>
        <w:t>kept</w:t>
      </w:r>
      <w:r w:rsidRPr="004853E7">
        <w:rPr>
          <w:rFonts w:ascii="Tahoma" w:eastAsia="標楷體" w:hAnsi="Tahoma" w:cs="Tahoma"/>
          <w:kern w:val="0"/>
          <w:sz w:val="20"/>
          <w:szCs w:val="20"/>
        </w:rPr>
        <w:t xml:space="preserve"> and </w:t>
      </w:r>
      <w:r w:rsidR="001F098D" w:rsidRPr="004853E7">
        <w:rPr>
          <w:rFonts w:ascii="Tahoma" w:eastAsia="標楷體" w:hAnsi="Tahoma" w:cs="Tahoma"/>
          <w:kern w:val="0"/>
          <w:sz w:val="20"/>
          <w:szCs w:val="20"/>
        </w:rPr>
        <w:t xml:space="preserve">done </w:t>
      </w:r>
      <w:r w:rsidR="00F203BA" w:rsidRPr="004853E7">
        <w:rPr>
          <w:rFonts w:ascii="Tahoma" w:eastAsia="標楷體" w:hAnsi="Tahoma" w:cs="Tahoma"/>
          <w:kern w:val="0"/>
          <w:sz w:val="20"/>
          <w:szCs w:val="20"/>
        </w:rPr>
        <w:t>annually</w:t>
      </w:r>
      <w:r w:rsidR="00FD1BE8" w:rsidRPr="004853E7">
        <w:rPr>
          <w:rFonts w:ascii="Tahoma" w:eastAsia="標楷體" w:hAnsi="Tahoma" w:cs="Tahoma"/>
          <w:kern w:val="0"/>
          <w:sz w:val="20"/>
          <w:szCs w:val="20"/>
        </w:rPr>
        <w:t xml:space="preserve"> </w:t>
      </w:r>
      <w:r w:rsidRPr="004853E7">
        <w:rPr>
          <w:rFonts w:ascii="Tahoma" w:eastAsia="標楷體" w:hAnsi="Tahoma" w:cs="Tahoma"/>
          <w:kern w:val="0"/>
          <w:sz w:val="20"/>
          <w:szCs w:val="20"/>
        </w:rPr>
        <w:t xml:space="preserve">under the responsibility of the </w:t>
      </w:r>
      <w:r w:rsidR="00E807EB" w:rsidRPr="004853E7">
        <w:rPr>
          <w:rFonts w:ascii="Tahoma" w:eastAsia="標楷體" w:hAnsi="Tahoma" w:cs="Tahoma"/>
          <w:kern w:val="0"/>
          <w:sz w:val="20"/>
          <w:szCs w:val="20"/>
        </w:rPr>
        <w:t xml:space="preserve">AML </w:t>
      </w:r>
      <w:r w:rsidR="00E807EB" w:rsidRPr="004853E7">
        <w:rPr>
          <w:rFonts w:ascii="Tahoma" w:eastAsia="標楷體" w:hAnsi="Tahoma" w:cs="Tahoma"/>
          <w:kern w:val="0"/>
          <w:sz w:val="20"/>
          <w:szCs w:val="20"/>
          <w:lang w:eastAsia="zh-HK"/>
        </w:rPr>
        <w:t xml:space="preserve">compliance officer, </w:t>
      </w:r>
      <w:r w:rsidRPr="004853E7">
        <w:rPr>
          <w:rFonts w:ascii="Tahoma" w:eastAsia="標楷體" w:hAnsi="Tahoma" w:cs="Tahoma"/>
          <w:kern w:val="0"/>
          <w:sz w:val="20"/>
          <w:szCs w:val="20"/>
        </w:rPr>
        <w:t>AMLCO. The Bank must be able to ensure that the policies, procedures and internal control measures developed in accordance with Article 3 are appropriate in view of the ML/FT risks identified.</w:t>
      </w:r>
    </w:p>
    <w:p w14:paraId="7E384D36" w14:textId="77777777" w:rsidR="00621829" w:rsidRPr="004853E7" w:rsidRDefault="00621829" w:rsidP="00677C16">
      <w:pPr>
        <w:snapToGrid w:val="0"/>
        <w:spacing w:line="240" w:lineRule="exact"/>
        <w:jc w:val="both"/>
        <w:rPr>
          <w:rFonts w:ascii="Tahoma" w:eastAsia="標楷體" w:hAnsi="Tahoma" w:cs="Tahoma"/>
          <w:kern w:val="0"/>
          <w:sz w:val="20"/>
          <w:szCs w:val="20"/>
        </w:rPr>
      </w:pPr>
    </w:p>
    <w:p w14:paraId="50F71BE8" w14:textId="77777777" w:rsidR="00621829" w:rsidRPr="004853E7" w:rsidRDefault="00574655"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bCs/>
          <w:sz w:val="20"/>
          <w:szCs w:val="20"/>
        </w:rPr>
      </w:pPr>
      <w:r w:rsidRPr="004853E7">
        <w:rPr>
          <w:rFonts w:ascii="Tahoma" w:eastAsia="標楷體" w:hAnsi="Tahoma" w:cs="Tahoma"/>
          <w:bCs/>
          <w:sz w:val="20"/>
          <w:szCs w:val="20"/>
        </w:rPr>
        <w:t xml:space="preserve"> </w:t>
      </w:r>
      <w:bookmarkStart w:id="10" w:name="_Toc142480917"/>
      <w:bookmarkStart w:id="11" w:name="_Toc142484946"/>
      <w:r w:rsidR="00D353CF" w:rsidRPr="004853E7">
        <w:rPr>
          <w:rFonts w:ascii="Tahoma" w:eastAsia="標楷體" w:hAnsi="Tahoma" w:cs="Tahoma"/>
          <w:bCs/>
          <w:sz w:val="20"/>
          <w:szCs w:val="20"/>
        </w:rPr>
        <w:t>Definition</w:t>
      </w:r>
      <w:r w:rsidR="009113A3" w:rsidRPr="004853E7">
        <w:rPr>
          <w:rFonts w:ascii="Tahoma" w:eastAsia="標楷體" w:hAnsi="Tahoma" w:cs="Tahoma"/>
          <w:bCs/>
          <w:sz w:val="20"/>
          <w:szCs w:val="20"/>
        </w:rPr>
        <w:t>s:</w:t>
      </w:r>
      <w:bookmarkEnd w:id="10"/>
      <w:bookmarkEnd w:id="11"/>
      <w:r w:rsidR="00621829" w:rsidRPr="004853E7">
        <w:rPr>
          <w:rFonts w:ascii="Tahoma" w:eastAsia="標楷體" w:hAnsi="Tahoma" w:cs="Tahoma" w:hint="eastAsia"/>
          <w:bCs/>
          <w:sz w:val="20"/>
          <w:szCs w:val="20"/>
        </w:rPr>
        <w:br/>
      </w:r>
    </w:p>
    <w:p w14:paraId="32F686E6" w14:textId="77777777" w:rsidR="00093414" w:rsidRPr="004853E7" w:rsidRDefault="00102D4C"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 xml:space="preserve">Beneficial Owner: </w:t>
      </w:r>
      <w:r w:rsidR="00093414" w:rsidRPr="004853E7">
        <w:rPr>
          <w:rFonts w:ascii="Tahoma" w:eastAsia="標楷體" w:hAnsi="Tahoma" w:cs="Tahoma"/>
          <w:sz w:val="20"/>
          <w:szCs w:val="20"/>
        </w:rPr>
        <w:t xml:space="preserve">means the natural person(s) who ultimately own(s) or control(s) the customer, and/or the natural person(s) on whose behalf a transaction is carried out or a business relationship is established. </w:t>
      </w:r>
    </w:p>
    <w:p w14:paraId="36A1E372" w14:textId="0D1A4B64" w:rsidR="00F203BA" w:rsidRPr="004853E7" w:rsidRDefault="00F203BA" w:rsidP="00677C16">
      <w:pPr>
        <w:snapToGrid w:val="0"/>
        <w:spacing w:line="240" w:lineRule="exact"/>
        <w:ind w:leftChars="200" w:left="480"/>
        <w:jc w:val="both"/>
        <w:rPr>
          <w:rFonts w:ascii="Tahoma" w:eastAsia="標楷體" w:hAnsi="Tahoma" w:cs="Tahoma"/>
          <w:sz w:val="20"/>
          <w:szCs w:val="20"/>
        </w:rPr>
      </w:pPr>
      <w:r w:rsidRPr="004853E7">
        <w:rPr>
          <w:rFonts w:ascii="Tahoma" w:eastAsia="標楷體" w:hAnsi="Tahoma" w:cs="Tahoma"/>
          <w:sz w:val="20"/>
          <w:szCs w:val="20"/>
        </w:rPr>
        <w:t xml:space="preserve">Are considered to be persons who ultimately own or control the customer, the customer’s agent or the beneficiary in the case of corporate </w:t>
      </w:r>
      <w:r w:rsidR="00531A1A" w:rsidRPr="004853E7">
        <w:rPr>
          <w:rFonts w:ascii="Tahoma" w:eastAsia="標楷體" w:hAnsi="Tahoma" w:cs="Tahoma"/>
          <w:sz w:val="20"/>
          <w:szCs w:val="20"/>
        </w:rPr>
        <w:t xml:space="preserve">or other legal </w:t>
      </w:r>
      <w:r w:rsidRPr="004853E7">
        <w:rPr>
          <w:rFonts w:ascii="Tahoma" w:eastAsia="標楷體" w:hAnsi="Tahoma" w:cs="Tahoma"/>
          <w:sz w:val="20"/>
          <w:szCs w:val="20"/>
        </w:rPr>
        <w:t>entities:</w:t>
      </w:r>
    </w:p>
    <w:p w14:paraId="7B9F6799" w14:textId="7839A248" w:rsidR="00F203BA" w:rsidRPr="004853E7" w:rsidRDefault="0029443D" w:rsidP="00677C16">
      <w:pPr>
        <w:pStyle w:val="ListParagraph"/>
        <w:numPr>
          <w:ilvl w:val="2"/>
          <w:numId w:val="5"/>
        </w:numPr>
        <w:snapToGrid w:val="0"/>
        <w:spacing w:line="240" w:lineRule="exact"/>
        <w:ind w:leftChars="0"/>
        <w:jc w:val="both"/>
        <w:rPr>
          <w:rFonts w:ascii="Tahoma" w:eastAsia="標楷體" w:hAnsi="Tahoma" w:cs="Tahoma"/>
          <w:sz w:val="20"/>
          <w:szCs w:val="20"/>
        </w:rPr>
      </w:pPr>
      <w:r>
        <w:rPr>
          <w:rFonts w:ascii="Tahoma" w:eastAsia="標楷體" w:hAnsi="Tahoma" w:cs="Tahoma"/>
          <w:sz w:val="20"/>
          <w:szCs w:val="20"/>
        </w:rPr>
        <w:t>T</w:t>
      </w:r>
      <w:r w:rsidR="00F203BA" w:rsidRPr="004853E7">
        <w:rPr>
          <w:rFonts w:ascii="Tahoma" w:eastAsia="標楷體" w:hAnsi="Tahoma" w:cs="Tahoma"/>
          <w:sz w:val="20"/>
          <w:szCs w:val="20"/>
        </w:rPr>
        <w:t xml:space="preserve">he natural person(s) who ultimately own(s) or control(s) a legal entity through direct or indirect ownership of a sufficient percentage of the shares or voting rights or ownership interest in that entity, including through bearer shareholdings. </w:t>
      </w:r>
    </w:p>
    <w:p w14:paraId="2D565AF5" w14:textId="77777777" w:rsidR="00AD3B18" w:rsidRPr="004853E7" w:rsidRDefault="00F203BA" w:rsidP="00677C16">
      <w:pPr>
        <w:snapToGrid w:val="0"/>
        <w:spacing w:line="240" w:lineRule="exact"/>
        <w:ind w:leftChars="400" w:left="960"/>
        <w:jc w:val="both"/>
        <w:rPr>
          <w:rFonts w:ascii="Tahoma" w:eastAsia="標楷體" w:hAnsi="Tahoma" w:cs="Tahoma"/>
          <w:sz w:val="20"/>
          <w:szCs w:val="20"/>
        </w:rPr>
      </w:pPr>
      <w:r w:rsidRPr="004853E7">
        <w:rPr>
          <w:rFonts w:ascii="Tahoma" w:eastAsia="標楷體" w:hAnsi="Tahoma" w:cs="Tahoma"/>
          <w:sz w:val="20"/>
          <w:szCs w:val="20"/>
        </w:rPr>
        <w:t>A natural person holding more than twenty five percent of the voting rights or more than twenty five percent of the shares or ownership interest in the company shall be an indication of direct ownership within the meaning of the first subparagraph.</w:t>
      </w:r>
      <w:r w:rsidR="00574655" w:rsidRPr="004853E7">
        <w:rPr>
          <w:rFonts w:ascii="Tahoma" w:eastAsia="標楷體" w:hAnsi="Tahoma" w:cs="Tahoma"/>
          <w:sz w:val="20"/>
          <w:szCs w:val="20"/>
        </w:rPr>
        <w:t xml:space="preserve"> </w:t>
      </w:r>
    </w:p>
    <w:p w14:paraId="64EC44F0" w14:textId="7007B1EF" w:rsidR="00574655" w:rsidRPr="004853E7" w:rsidRDefault="00F203BA" w:rsidP="00677C16">
      <w:pPr>
        <w:snapToGrid w:val="0"/>
        <w:spacing w:line="240" w:lineRule="exact"/>
        <w:ind w:leftChars="400" w:left="960"/>
        <w:jc w:val="both"/>
        <w:rPr>
          <w:rFonts w:ascii="Tahoma" w:eastAsia="標楷體" w:hAnsi="Tahoma" w:cs="Tahoma"/>
          <w:sz w:val="20"/>
          <w:szCs w:val="20"/>
        </w:rPr>
      </w:pPr>
      <w:r w:rsidRPr="004853E7">
        <w:rPr>
          <w:rFonts w:ascii="Tahoma" w:eastAsia="標楷體" w:hAnsi="Tahoma" w:cs="Tahoma"/>
          <w:sz w:val="20"/>
          <w:szCs w:val="20"/>
        </w:rPr>
        <w:t xml:space="preserve">A corporate </w:t>
      </w:r>
      <w:r w:rsidR="00531A1A" w:rsidRPr="004853E7">
        <w:rPr>
          <w:rFonts w:ascii="Tahoma" w:eastAsia="標楷體" w:hAnsi="Tahoma" w:cs="Tahoma"/>
          <w:sz w:val="20"/>
          <w:szCs w:val="20"/>
        </w:rPr>
        <w:t xml:space="preserve">or other legal </w:t>
      </w:r>
      <w:r w:rsidRPr="004853E7">
        <w:rPr>
          <w:rFonts w:ascii="Tahoma" w:eastAsia="標楷體" w:hAnsi="Tahoma" w:cs="Tahoma"/>
          <w:sz w:val="20"/>
          <w:szCs w:val="20"/>
        </w:rPr>
        <w:t xml:space="preserve">entity which is under the control of (a) natural person(s), or by multiple corporate </w:t>
      </w:r>
      <w:r w:rsidR="00531A1A" w:rsidRPr="004853E7">
        <w:rPr>
          <w:rFonts w:ascii="Tahoma" w:eastAsia="標楷體" w:hAnsi="Tahoma" w:cs="Tahoma"/>
          <w:sz w:val="20"/>
          <w:szCs w:val="20"/>
        </w:rPr>
        <w:t xml:space="preserve">or other legal </w:t>
      </w:r>
      <w:r w:rsidRPr="004853E7">
        <w:rPr>
          <w:rFonts w:ascii="Tahoma" w:eastAsia="標楷體" w:hAnsi="Tahoma" w:cs="Tahoma"/>
          <w:sz w:val="20"/>
          <w:szCs w:val="20"/>
        </w:rPr>
        <w:t>entities, which are under the control of the same natural person(s), holding more than twenty five percent of the voting rights or more than twenty five percent of the shares or ownership interest in the company shall be an indication of indirect ownership within the meaning of the first subparagraph.</w:t>
      </w:r>
    </w:p>
    <w:p w14:paraId="571DA685" w14:textId="56138989" w:rsidR="00574655" w:rsidRPr="004853E7" w:rsidRDefault="0029443D" w:rsidP="00677C16">
      <w:pPr>
        <w:pStyle w:val="ListParagraph"/>
        <w:numPr>
          <w:ilvl w:val="2"/>
          <w:numId w:val="5"/>
        </w:numPr>
        <w:snapToGrid w:val="0"/>
        <w:spacing w:line="240" w:lineRule="exact"/>
        <w:ind w:leftChars="0"/>
        <w:jc w:val="both"/>
        <w:rPr>
          <w:rFonts w:ascii="Tahoma" w:eastAsia="標楷體" w:hAnsi="Tahoma" w:cs="Tahoma"/>
          <w:sz w:val="20"/>
          <w:szCs w:val="20"/>
        </w:rPr>
      </w:pPr>
      <w:r>
        <w:rPr>
          <w:rFonts w:ascii="Tahoma" w:eastAsia="標楷體" w:hAnsi="Tahoma" w:cs="Tahoma"/>
          <w:sz w:val="20"/>
          <w:szCs w:val="20"/>
        </w:rPr>
        <w:t>T</w:t>
      </w:r>
      <w:r w:rsidR="00F203BA" w:rsidRPr="004853E7">
        <w:rPr>
          <w:rFonts w:ascii="Tahoma" w:eastAsia="標楷體" w:hAnsi="Tahoma" w:cs="Tahoma"/>
          <w:sz w:val="20"/>
          <w:szCs w:val="20"/>
        </w:rPr>
        <w:t xml:space="preserve">he natural person(s) that exercise(s) control over this corporate </w:t>
      </w:r>
      <w:r w:rsidR="00531A1A" w:rsidRPr="004853E7">
        <w:rPr>
          <w:rFonts w:ascii="Tahoma" w:eastAsia="標楷體" w:hAnsi="Tahoma" w:cs="Tahoma"/>
          <w:sz w:val="20"/>
          <w:szCs w:val="20"/>
        </w:rPr>
        <w:t xml:space="preserve">or other legal </w:t>
      </w:r>
      <w:r w:rsidR="00F203BA" w:rsidRPr="004853E7">
        <w:rPr>
          <w:rFonts w:ascii="Tahoma" w:eastAsia="標楷體" w:hAnsi="Tahoma" w:cs="Tahoma"/>
          <w:sz w:val="20"/>
          <w:szCs w:val="20"/>
        </w:rPr>
        <w:t>entity via other means.</w:t>
      </w:r>
    </w:p>
    <w:p w14:paraId="278A1568" w14:textId="46901D78" w:rsidR="00574655" w:rsidRPr="00A23834" w:rsidRDefault="0029443D" w:rsidP="00677C16">
      <w:pPr>
        <w:pStyle w:val="ListParagraph"/>
        <w:numPr>
          <w:ilvl w:val="2"/>
          <w:numId w:val="5"/>
        </w:numPr>
        <w:snapToGrid w:val="0"/>
        <w:spacing w:line="240" w:lineRule="exact"/>
        <w:ind w:leftChars="0"/>
        <w:jc w:val="both"/>
        <w:rPr>
          <w:rFonts w:ascii="Tahoma" w:eastAsia="標楷體" w:hAnsi="Tahoma" w:cs="Tahoma"/>
          <w:sz w:val="20"/>
          <w:szCs w:val="20"/>
          <w:lang w:eastAsia="zh-HK"/>
        </w:rPr>
      </w:pPr>
      <w:r>
        <w:rPr>
          <w:rFonts w:ascii="Tahoma" w:eastAsia="標楷體" w:hAnsi="Tahoma" w:cs="Tahoma"/>
          <w:sz w:val="20"/>
          <w:szCs w:val="20"/>
        </w:rPr>
        <w:t>I</w:t>
      </w:r>
      <w:r w:rsidR="00F203BA" w:rsidRPr="00A23834">
        <w:rPr>
          <w:rFonts w:ascii="Tahoma" w:eastAsia="標楷體" w:hAnsi="Tahoma" w:cs="Tahoma"/>
          <w:sz w:val="20"/>
          <w:szCs w:val="20"/>
        </w:rPr>
        <w:t xml:space="preserve">f, after having exhausted all possible means and provided there are no grounds for suspicion, no person under point </w:t>
      </w:r>
      <w:r w:rsidR="00E76A88" w:rsidRPr="00A23834">
        <w:rPr>
          <w:rFonts w:ascii="Tahoma" w:eastAsia="標楷體" w:hAnsi="Tahoma" w:cs="Tahoma"/>
          <w:sz w:val="20"/>
          <w:szCs w:val="20"/>
        </w:rPr>
        <w:t>(1</w:t>
      </w:r>
      <w:r w:rsidR="00F203BA" w:rsidRPr="00A23834">
        <w:rPr>
          <w:rFonts w:ascii="Tahoma" w:eastAsia="標楷體" w:hAnsi="Tahoma" w:cs="Tahoma"/>
          <w:sz w:val="20"/>
          <w:szCs w:val="20"/>
        </w:rPr>
        <w:t xml:space="preserve">) or </w:t>
      </w:r>
      <w:r w:rsidR="00E76A88" w:rsidRPr="00A23834">
        <w:rPr>
          <w:rFonts w:ascii="Tahoma" w:eastAsia="標楷體" w:hAnsi="Tahoma" w:cs="Tahoma"/>
          <w:sz w:val="20"/>
          <w:szCs w:val="20"/>
        </w:rPr>
        <w:t>(2</w:t>
      </w:r>
      <w:r w:rsidR="00F203BA" w:rsidRPr="00A23834">
        <w:rPr>
          <w:rFonts w:ascii="Tahoma" w:eastAsia="標楷體" w:hAnsi="Tahoma" w:cs="Tahoma"/>
          <w:sz w:val="20"/>
          <w:szCs w:val="20"/>
        </w:rPr>
        <w:t>) is identified, or if there is any doubt that the person(s) identified are the beneficial owner(s), the natural person(s) who hold the position of senior managing official(s) shall keep records of the actions taken in order to identify the beneficial ownership.</w:t>
      </w:r>
    </w:p>
    <w:p w14:paraId="77640F7E" w14:textId="77777777" w:rsidR="00621829" w:rsidRPr="00A23834" w:rsidRDefault="00621829" w:rsidP="00677C16">
      <w:pPr>
        <w:snapToGrid w:val="0"/>
        <w:spacing w:line="240" w:lineRule="exact"/>
        <w:ind w:left="482"/>
        <w:jc w:val="both"/>
        <w:rPr>
          <w:rFonts w:ascii="Tahoma" w:eastAsia="標楷體" w:hAnsi="Tahoma" w:cs="Tahoma"/>
          <w:sz w:val="20"/>
          <w:szCs w:val="20"/>
          <w:lang w:eastAsia="zh-HK"/>
        </w:rPr>
      </w:pPr>
    </w:p>
    <w:p w14:paraId="54B3575F" w14:textId="05074BAF" w:rsidR="00C35A1B" w:rsidRPr="00A23834" w:rsidRDefault="009B63D6"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sz w:val="20"/>
          <w:szCs w:val="20"/>
          <w:lang w:eastAsia="zh-HK"/>
        </w:rPr>
        <w:t>P</w:t>
      </w:r>
      <w:r w:rsidR="00C35A1B" w:rsidRPr="00A23834">
        <w:rPr>
          <w:rFonts w:ascii="Tahoma" w:eastAsia="標楷體" w:hAnsi="Tahoma" w:cs="Tahoma"/>
          <w:sz w:val="20"/>
          <w:szCs w:val="20"/>
          <w:lang w:eastAsia="zh-HK"/>
        </w:rPr>
        <w:t>olitically exposed person</w:t>
      </w:r>
      <w:r w:rsidR="00482DAF" w:rsidRPr="00A23834">
        <w:rPr>
          <w:rFonts w:ascii="Tahoma" w:eastAsia="標楷體" w:hAnsi="Tahoma" w:cs="Tahoma"/>
          <w:sz w:val="20"/>
          <w:szCs w:val="20"/>
          <w:lang w:eastAsia="zh-HK"/>
        </w:rPr>
        <w:t xml:space="preserve"> </w:t>
      </w:r>
      <w:r w:rsidR="00C35A1B" w:rsidRPr="00A23834">
        <w:rPr>
          <w:rFonts w:ascii="Tahoma" w:eastAsia="標楷體" w:hAnsi="Tahoma" w:cs="Tahoma"/>
          <w:sz w:val="20"/>
          <w:szCs w:val="20"/>
          <w:lang w:eastAsia="zh-HK"/>
        </w:rPr>
        <w:t>(PEPs)</w:t>
      </w:r>
      <w:r w:rsidRPr="00A23834">
        <w:rPr>
          <w:rFonts w:ascii="Tahoma" w:eastAsia="標楷體" w:hAnsi="Tahoma" w:cs="Tahoma"/>
          <w:sz w:val="20"/>
          <w:szCs w:val="20"/>
          <w:lang w:eastAsia="zh-HK"/>
        </w:rPr>
        <w:t>:</w:t>
      </w:r>
      <w:r w:rsidR="002A240E" w:rsidRPr="00A23834">
        <w:rPr>
          <w:rFonts w:ascii="Tahoma" w:eastAsia="標楷體" w:hAnsi="Tahoma" w:cs="Tahoma"/>
          <w:sz w:val="20"/>
          <w:szCs w:val="20"/>
          <w:lang w:eastAsia="zh-HK"/>
        </w:rPr>
        <w:t xml:space="preserve"> </w:t>
      </w:r>
      <w:r w:rsidR="00C35A1B" w:rsidRPr="00A23834">
        <w:rPr>
          <w:rFonts w:ascii="Tahoma" w:eastAsia="標楷體" w:hAnsi="Tahoma" w:cs="Tahoma"/>
          <w:sz w:val="20"/>
          <w:szCs w:val="20"/>
          <w:lang w:eastAsia="zh-HK"/>
        </w:rPr>
        <w:t xml:space="preserve">a </w:t>
      </w:r>
      <w:r w:rsidR="002A240E" w:rsidRPr="00A23834">
        <w:rPr>
          <w:rFonts w:ascii="Tahoma" w:eastAsia="標楷體" w:hAnsi="Tahoma" w:cs="Tahoma"/>
          <w:sz w:val="20"/>
          <w:szCs w:val="20"/>
          <w:lang w:eastAsia="zh-HK"/>
        </w:rPr>
        <w:t>natural person who is or used to be</w:t>
      </w:r>
      <w:r w:rsidR="00C35A1B" w:rsidRPr="00A23834">
        <w:rPr>
          <w:rFonts w:ascii="Tahoma" w:eastAsia="標楷體" w:hAnsi="Tahoma" w:cs="Tahoma"/>
          <w:sz w:val="20"/>
          <w:szCs w:val="20"/>
          <w:lang w:eastAsia="zh-HK"/>
        </w:rPr>
        <w:t xml:space="preserve"> entrusted with prominent public functions</w:t>
      </w:r>
      <w:r w:rsidR="00093CBD">
        <w:rPr>
          <w:rFonts w:ascii="Tahoma" w:eastAsia="標楷體" w:hAnsi="Tahoma" w:cs="Tahoma"/>
          <w:sz w:val="20"/>
          <w:szCs w:val="20"/>
          <w:lang w:eastAsia="zh-HK"/>
        </w:rPr>
        <w:t>,</w:t>
      </w:r>
      <w:r w:rsidR="00093CBD" w:rsidRPr="00353C9D">
        <w:rPr>
          <w:rFonts w:ascii="Tahoma" w:eastAsia="標楷體" w:hAnsi="Tahoma" w:cs="Tahoma"/>
          <w:sz w:val="20"/>
          <w:szCs w:val="20"/>
          <w:lang w:eastAsia="zh-HK"/>
        </w:rPr>
        <w:t xml:space="preserve"> listed in Annex IV of the Anti-Money Laundering Law and mentioned in the single list published by the European Commission</w:t>
      </w:r>
      <w:r w:rsidR="00093CBD" w:rsidRPr="00093CBD">
        <w:rPr>
          <w:rFonts w:ascii="Tahoma" w:eastAsia="標楷體" w:hAnsi="Tahoma" w:cs="Tahoma"/>
          <w:sz w:val="20"/>
          <w:szCs w:val="20"/>
          <w:lang w:eastAsia="zh-HK"/>
        </w:rPr>
        <w:t xml:space="preserve">, </w:t>
      </w:r>
      <w:r w:rsidR="00C35A1B" w:rsidRPr="00A23834">
        <w:rPr>
          <w:rFonts w:ascii="Tahoma" w:eastAsia="標楷體" w:hAnsi="Tahoma" w:cs="Tahoma"/>
          <w:sz w:val="20"/>
          <w:szCs w:val="20"/>
          <w:lang w:eastAsia="zh-HK"/>
        </w:rPr>
        <w:t xml:space="preserve">and includes the following: </w:t>
      </w:r>
    </w:p>
    <w:p w14:paraId="7F2BC86D" w14:textId="21C75020" w:rsidR="00C35A1B" w:rsidRPr="00A23834" w:rsidRDefault="0029443D" w:rsidP="00677C16">
      <w:pPr>
        <w:pStyle w:val="ListParagraph"/>
        <w:numPr>
          <w:ilvl w:val="2"/>
          <w:numId w:val="5"/>
        </w:numPr>
        <w:snapToGrid w:val="0"/>
        <w:spacing w:line="240" w:lineRule="exact"/>
        <w:ind w:leftChars="0"/>
        <w:jc w:val="both"/>
        <w:rPr>
          <w:rFonts w:ascii="Tahoma" w:eastAsia="標楷體" w:hAnsi="Tahoma" w:cs="Tahoma"/>
          <w:sz w:val="20"/>
          <w:szCs w:val="20"/>
          <w:lang w:eastAsia="zh-HK"/>
        </w:rPr>
      </w:pPr>
      <w:r>
        <w:rPr>
          <w:rFonts w:ascii="Tahoma" w:eastAsia="標楷體" w:hAnsi="Tahoma" w:cs="Tahoma"/>
          <w:sz w:val="20"/>
          <w:szCs w:val="20"/>
          <w:lang w:eastAsia="zh-HK"/>
        </w:rPr>
        <w:t>H</w:t>
      </w:r>
      <w:r w:rsidR="00C35A1B" w:rsidRPr="00A23834">
        <w:rPr>
          <w:rFonts w:ascii="Tahoma" w:eastAsia="標楷體" w:hAnsi="Tahoma" w:cs="Tahoma"/>
          <w:sz w:val="20"/>
          <w:szCs w:val="20"/>
          <w:lang w:eastAsia="zh-HK"/>
        </w:rPr>
        <w:t xml:space="preserve">eads of State, heads of government, ministers and deputy or assistant ministers; </w:t>
      </w:r>
    </w:p>
    <w:p w14:paraId="4DB4F389" w14:textId="765992B2" w:rsidR="00C35A1B" w:rsidRPr="00A23834" w:rsidRDefault="0029443D" w:rsidP="00677C16">
      <w:pPr>
        <w:pStyle w:val="ListParagraph"/>
        <w:numPr>
          <w:ilvl w:val="2"/>
          <w:numId w:val="5"/>
        </w:numPr>
        <w:snapToGrid w:val="0"/>
        <w:spacing w:line="240" w:lineRule="exact"/>
        <w:ind w:leftChars="0"/>
        <w:jc w:val="both"/>
        <w:rPr>
          <w:rFonts w:ascii="Tahoma" w:eastAsia="標楷體" w:hAnsi="Tahoma" w:cs="Tahoma"/>
          <w:sz w:val="20"/>
          <w:szCs w:val="20"/>
          <w:lang w:eastAsia="zh-HK"/>
        </w:rPr>
      </w:pPr>
      <w:r>
        <w:rPr>
          <w:rFonts w:ascii="Tahoma" w:eastAsia="標楷體" w:hAnsi="Tahoma" w:cs="Tahoma"/>
          <w:sz w:val="20"/>
          <w:szCs w:val="20"/>
          <w:lang w:eastAsia="zh-HK"/>
        </w:rPr>
        <w:lastRenderedPageBreak/>
        <w:t>M</w:t>
      </w:r>
      <w:r w:rsidR="00C35A1B" w:rsidRPr="00A23834">
        <w:rPr>
          <w:rFonts w:ascii="Tahoma" w:eastAsia="標楷體" w:hAnsi="Tahoma" w:cs="Tahoma"/>
          <w:sz w:val="20"/>
          <w:szCs w:val="20"/>
          <w:lang w:eastAsia="zh-HK"/>
        </w:rPr>
        <w:t xml:space="preserve">embers of parliament or of similar legislative bodies; </w:t>
      </w:r>
    </w:p>
    <w:p w14:paraId="31EFA503" w14:textId="655DA3E8" w:rsidR="00C35A1B" w:rsidRPr="00A23834" w:rsidRDefault="0029443D" w:rsidP="00677C16">
      <w:pPr>
        <w:pStyle w:val="ListParagraph"/>
        <w:numPr>
          <w:ilvl w:val="2"/>
          <w:numId w:val="5"/>
        </w:numPr>
        <w:snapToGrid w:val="0"/>
        <w:spacing w:line="240" w:lineRule="exact"/>
        <w:ind w:leftChars="0"/>
        <w:jc w:val="both"/>
        <w:rPr>
          <w:rFonts w:ascii="Tahoma" w:eastAsia="標楷體" w:hAnsi="Tahoma" w:cs="Tahoma"/>
          <w:sz w:val="20"/>
          <w:szCs w:val="20"/>
          <w:lang w:eastAsia="zh-HK"/>
        </w:rPr>
      </w:pPr>
      <w:r>
        <w:rPr>
          <w:rFonts w:ascii="Tahoma" w:eastAsia="標楷體" w:hAnsi="Tahoma" w:cs="Tahoma"/>
          <w:sz w:val="20"/>
          <w:szCs w:val="20"/>
          <w:lang w:eastAsia="zh-HK"/>
        </w:rPr>
        <w:t>M</w:t>
      </w:r>
      <w:r w:rsidR="00C35A1B" w:rsidRPr="00A23834">
        <w:rPr>
          <w:rFonts w:ascii="Tahoma" w:eastAsia="標楷體" w:hAnsi="Tahoma" w:cs="Tahoma"/>
          <w:sz w:val="20"/>
          <w:szCs w:val="20"/>
          <w:lang w:eastAsia="zh-HK"/>
        </w:rPr>
        <w:t xml:space="preserve">embers of the governing bodies of political parties; </w:t>
      </w:r>
    </w:p>
    <w:p w14:paraId="519A408D" w14:textId="5465F530" w:rsidR="00C35A1B" w:rsidRPr="00A23834" w:rsidRDefault="0029443D" w:rsidP="00677C16">
      <w:pPr>
        <w:pStyle w:val="ListParagraph"/>
        <w:numPr>
          <w:ilvl w:val="2"/>
          <w:numId w:val="5"/>
        </w:numPr>
        <w:snapToGrid w:val="0"/>
        <w:spacing w:line="240" w:lineRule="exact"/>
        <w:ind w:leftChars="0"/>
        <w:jc w:val="both"/>
        <w:rPr>
          <w:rFonts w:ascii="Tahoma" w:eastAsia="標楷體" w:hAnsi="Tahoma" w:cs="Tahoma"/>
          <w:sz w:val="20"/>
          <w:szCs w:val="20"/>
          <w:lang w:eastAsia="zh-HK"/>
        </w:rPr>
      </w:pPr>
      <w:r>
        <w:rPr>
          <w:rFonts w:ascii="Tahoma" w:eastAsia="標楷體" w:hAnsi="Tahoma" w:cs="Tahoma"/>
          <w:sz w:val="20"/>
          <w:szCs w:val="20"/>
          <w:lang w:eastAsia="zh-HK"/>
        </w:rPr>
        <w:t>M</w:t>
      </w:r>
      <w:r w:rsidR="00C35A1B" w:rsidRPr="00A23834">
        <w:rPr>
          <w:rFonts w:ascii="Tahoma" w:eastAsia="標楷體" w:hAnsi="Tahoma" w:cs="Tahoma"/>
          <w:sz w:val="20"/>
          <w:szCs w:val="20"/>
          <w:lang w:eastAsia="zh-HK"/>
        </w:rPr>
        <w:t>embers of supreme courts, of constitutional courts or of o</w:t>
      </w:r>
      <w:r w:rsidR="002A240E" w:rsidRPr="00A23834">
        <w:rPr>
          <w:rFonts w:ascii="Tahoma" w:eastAsia="標楷體" w:hAnsi="Tahoma" w:cs="Tahoma"/>
          <w:sz w:val="20"/>
          <w:szCs w:val="20"/>
          <w:lang w:eastAsia="zh-HK"/>
        </w:rPr>
        <w:t>ther high-level judicial bodies</w:t>
      </w:r>
      <w:r w:rsidR="00C35A1B" w:rsidRPr="00A23834">
        <w:rPr>
          <w:rFonts w:ascii="Tahoma" w:eastAsia="標楷體" w:hAnsi="Tahoma" w:cs="Tahoma"/>
          <w:sz w:val="20"/>
          <w:szCs w:val="20"/>
          <w:lang w:eastAsia="zh-HK"/>
        </w:rPr>
        <w:t xml:space="preserve">; </w:t>
      </w:r>
    </w:p>
    <w:p w14:paraId="25AB409C" w14:textId="667C2094" w:rsidR="00C35A1B" w:rsidRPr="00A23834" w:rsidRDefault="0029443D" w:rsidP="00677C16">
      <w:pPr>
        <w:pStyle w:val="ListParagraph"/>
        <w:numPr>
          <w:ilvl w:val="2"/>
          <w:numId w:val="5"/>
        </w:numPr>
        <w:snapToGrid w:val="0"/>
        <w:spacing w:line="240" w:lineRule="exact"/>
        <w:ind w:leftChars="0"/>
        <w:jc w:val="both"/>
        <w:rPr>
          <w:rFonts w:ascii="Tahoma" w:eastAsia="標楷體" w:hAnsi="Tahoma" w:cs="Tahoma"/>
          <w:sz w:val="20"/>
          <w:szCs w:val="20"/>
          <w:lang w:eastAsia="zh-HK"/>
        </w:rPr>
      </w:pPr>
      <w:r>
        <w:rPr>
          <w:rFonts w:ascii="Tahoma" w:eastAsia="標楷體" w:hAnsi="Tahoma" w:cs="Tahoma"/>
          <w:sz w:val="20"/>
          <w:szCs w:val="20"/>
          <w:lang w:eastAsia="zh-HK"/>
        </w:rPr>
        <w:t>M</w:t>
      </w:r>
      <w:r w:rsidR="00C35A1B" w:rsidRPr="00A23834">
        <w:rPr>
          <w:rFonts w:ascii="Tahoma" w:eastAsia="標楷體" w:hAnsi="Tahoma" w:cs="Tahoma"/>
          <w:sz w:val="20"/>
          <w:szCs w:val="20"/>
          <w:lang w:eastAsia="zh-HK"/>
        </w:rPr>
        <w:t xml:space="preserve">embers of courts of auditors or of the boards of central banks; </w:t>
      </w:r>
    </w:p>
    <w:p w14:paraId="35DA5CEA" w14:textId="42FACE6B" w:rsidR="00C35A1B" w:rsidRPr="00A23834" w:rsidRDefault="0029443D" w:rsidP="00677C16">
      <w:pPr>
        <w:pStyle w:val="ListParagraph"/>
        <w:numPr>
          <w:ilvl w:val="2"/>
          <w:numId w:val="5"/>
        </w:numPr>
        <w:snapToGrid w:val="0"/>
        <w:spacing w:line="240" w:lineRule="exact"/>
        <w:ind w:leftChars="0"/>
        <w:jc w:val="both"/>
        <w:rPr>
          <w:rFonts w:ascii="Tahoma" w:eastAsia="標楷體" w:hAnsi="Tahoma" w:cs="Tahoma"/>
          <w:sz w:val="20"/>
          <w:szCs w:val="20"/>
          <w:lang w:eastAsia="zh-HK"/>
        </w:rPr>
      </w:pPr>
      <w:r>
        <w:rPr>
          <w:rFonts w:ascii="Tahoma" w:eastAsia="標楷體" w:hAnsi="Tahoma" w:cs="Tahoma"/>
          <w:sz w:val="20"/>
          <w:szCs w:val="20"/>
          <w:lang w:eastAsia="zh-HK"/>
        </w:rPr>
        <w:t>A</w:t>
      </w:r>
      <w:r w:rsidR="00C35A1B" w:rsidRPr="00A23834">
        <w:rPr>
          <w:rFonts w:ascii="Tahoma" w:eastAsia="標楷體" w:hAnsi="Tahoma" w:cs="Tahoma"/>
          <w:sz w:val="20"/>
          <w:szCs w:val="20"/>
          <w:lang w:eastAsia="zh-HK"/>
        </w:rPr>
        <w:t xml:space="preserve">mbassadors, chargés d'affaires and high-ranking officers in the armed forces; </w:t>
      </w:r>
    </w:p>
    <w:p w14:paraId="152B5859" w14:textId="2ACDB3FE" w:rsidR="00C35A1B" w:rsidRPr="00A23834" w:rsidRDefault="0029443D" w:rsidP="00677C16">
      <w:pPr>
        <w:pStyle w:val="ListParagraph"/>
        <w:numPr>
          <w:ilvl w:val="2"/>
          <w:numId w:val="5"/>
        </w:numPr>
        <w:snapToGrid w:val="0"/>
        <w:spacing w:line="240" w:lineRule="exact"/>
        <w:ind w:leftChars="0"/>
        <w:jc w:val="both"/>
        <w:rPr>
          <w:rFonts w:ascii="Tahoma" w:eastAsia="標楷體" w:hAnsi="Tahoma" w:cs="Tahoma"/>
          <w:sz w:val="20"/>
          <w:szCs w:val="20"/>
          <w:lang w:eastAsia="zh-HK"/>
        </w:rPr>
      </w:pPr>
      <w:r>
        <w:rPr>
          <w:rFonts w:ascii="Tahoma" w:eastAsia="標楷體" w:hAnsi="Tahoma" w:cs="Tahoma"/>
          <w:sz w:val="20"/>
          <w:szCs w:val="20"/>
          <w:lang w:eastAsia="zh-HK"/>
        </w:rPr>
        <w:t>M</w:t>
      </w:r>
      <w:r w:rsidR="00C35A1B" w:rsidRPr="00A23834">
        <w:rPr>
          <w:rFonts w:ascii="Tahoma" w:eastAsia="標楷體" w:hAnsi="Tahoma" w:cs="Tahoma"/>
          <w:sz w:val="20"/>
          <w:szCs w:val="20"/>
          <w:lang w:eastAsia="zh-HK"/>
        </w:rPr>
        <w:t xml:space="preserve">embers of the administrative, management or supervisory bodies of State-owned enterprises; </w:t>
      </w:r>
    </w:p>
    <w:p w14:paraId="3F5532CB" w14:textId="307ED7F0" w:rsidR="001F6E7A" w:rsidRPr="00A23834" w:rsidRDefault="0029443D" w:rsidP="001F6E7A">
      <w:pPr>
        <w:pStyle w:val="ListParagraph"/>
        <w:numPr>
          <w:ilvl w:val="2"/>
          <w:numId w:val="5"/>
        </w:numPr>
        <w:snapToGrid w:val="0"/>
        <w:spacing w:line="240" w:lineRule="exact"/>
        <w:ind w:leftChars="0"/>
        <w:jc w:val="both"/>
        <w:rPr>
          <w:rFonts w:ascii="Tahoma" w:eastAsia="標楷體" w:hAnsi="Tahoma" w:cs="Tahoma"/>
          <w:sz w:val="20"/>
          <w:szCs w:val="20"/>
          <w:lang w:eastAsia="zh-HK"/>
        </w:rPr>
      </w:pPr>
      <w:r>
        <w:rPr>
          <w:rFonts w:ascii="Tahoma" w:eastAsia="標楷體" w:hAnsi="Tahoma" w:cs="Tahoma"/>
          <w:sz w:val="20"/>
          <w:szCs w:val="20"/>
          <w:lang w:eastAsia="zh-HK"/>
        </w:rPr>
        <w:t>D</w:t>
      </w:r>
      <w:r w:rsidR="001F6E7A" w:rsidRPr="00A23834">
        <w:rPr>
          <w:rFonts w:ascii="Tahoma" w:eastAsia="標楷體" w:hAnsi="Tahoma" w:cs="Tahoma"/>
          <w:sz w:val="20"/>
          <w:szCs w:val="20"/>
          <w:lang w:eastAsia="zh-HK"/>
        </w:rPr>
        <w:t>irectors, deputy directors and members of the board or equivalent function of an international organization.</w:t>
      </w:r>
    </w:p>
    <w:p w14:paraId="008FCD5B" w14:textId="0D2EE2AA" w:rsidR="001F6E7A" w:rsidRPr="00A23834" w:rsidRDefault="0029443D" w:rsidP="001F6E7A">
      <w:pPr>
        <w:pStyle w:val="ListParagraph"/>
        <w:numPr>
          <w:ilvl w:val="2"/>
          <w:numId w:val="5"/>
        </w:numPr>
        <w:snapToGrid w:val="0"/>
        <w:spacing w:line="240" w:lineRule="exact"/>
        <w:ind w:leftChars="0"/>
        <w:jc w:val="both"/>
        <w:rPr>
          <w:rFonts w:ascii="Tahoma" w:eastAsia="標楷體" w:hAnsi="Tahoma" w:cs="Tahoma"/>
          <w:sz w:val="20"/>
          <w:szCs w:val="20"/>
          <w:lang w:eastAsia="zh-HK"/>
        </w:rPr>
      </w:pPr>
      <w:r>
        <w:rPr>
          <w:rFonts w:ascii="Tahoma" w:eastAsia="標楷體" w:hAnsi="Tahoma" w:cs="Tahoma"/>
          <w:sz w:val="20"/>
          <w:szCs w:val="20"/>
          <w:lang w:eastAsia="zh-HK"/>
        </w:rPr>
        <w:t>N</w:t>
      </w:r>
      <w:r w:rsidR="001F6E7A" w:rsidRPr="00A23834">
        <w:rPr>
          <w:rFonts w:ascii="Tahoma" w:eastAsia="標楷體" w:hAnsi="Tahoma" w:cs="Tahoma"/>
          <w:sz w:val="20"/>
          <w:szCs w:val="20"/>
          <w:lang w:eastAsia="zh-HK"/>
        </w:rPr>
        <w:t>atural persons who exercise functions which are considered as prominent public functions as published in the list of EU according to the Directive EU 2015/849, article 20 a &amp;</w:t>
      </w:r>
      <w:r>
        <w:rPr>
          <w:rFonts w:ascii="Tahoma" w:eastAsia="標楷體" w:hAnsi="Tahoma" w:cs="Tahoma"/>
          <w:sz w:val="20"/>
          <w:szCs w:val="20"/>
          <w:lang w:eastAsia="zh-HK"/>
        </w:rPr>
        <w:t xml:space="preserve"> </w:t>
      </w:r>
      <w:r w:rsidR="001F6E7A" w:rsidRPr="00A23834">
        <w:rPr>
          <w:rFonts w:ascii="Tahoma" w:eastAsia="標楷體" w:hAnsi="Tahoma" w:cs="Tahoma"/>
          <w:sz w:val="20"/>
          <w:szCs w:val="20"/>
          <w:lang w:eastAsia="zh-HK"/>
        </w:rPr>
        <w:t>3.</w:t>
      </w:r>
    </w:p>
    <w:p w14:paraId="03B12E98" w14:textId="77777777" w:rsidR="001F6E7A" w:rsidRPr="00A23834" w:rsidRDefault="001F6E7A" w:rsidP="001F6E7A">
      <w:pPr>
        <w:snapToGrid w:val="0"/>
        <w:spacing w:line="240" w:lineRule="exact"/>
        <w:jc w:val="both"/>
        <w:rPr>
          <w:rFonts w:ascii="Tahoma" w:eastAsia="標楷體" w:hAnsi="Tahoma" w:cs="Tahoma"/>
          <w:sz w:val="20"/>
          <w:szCs w:val="20"/>
          <w:lang w:eastAsia="zh-HK"/>
        </w:rPr>
      </w:pPr>
    </w:p>
    <w:p w14:paraId="1A613812" w14:textId="77777777" w:rsidR="00621829" w:rsidRPr="00A23834" w:rsidRDefault="00621829" w:rsidP="00677C16">
      <w:pPr>
        <w:pStyle w:val="ListParagraph"/>
        <w:snapToGrid w:val="0"/>
        <w:spacing w:line="240" w:lineRule="exact"/>
        <w:ind w:leftChars="0" w:left="964"/>
        <w:jc w:val="both"/>
        <w:rPr>
          <w:rFonts w:ascii="Tahoma" w:eastAsia="標楷體" w:hAnsi="Tahoma" w:cs="Tahoma"/>
          <w:sz w:val="20"/>
          <w:szCs w:val="20"/>
          <w:lang w:eastAsia="zh-HK"/>
        </w:rPr>
      </w:pPr>
    </w:p>
    <w:p w14:paraId="1EB0B9E5" w14:textId="77777777" w:rsidR="00C35A1B" w:rsidRPr="00A23834" w:rsidRDefault="009B63D6"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sz w:val="20"/>
          <w:szCs w:val="20"/>
          <w:lang w:eastAsia="zh-HK"/>
        </w:rPr>
        <w:t>F</w:t>
      </w:r>
      <w:r w:rsidR="00C35A1B" w:rsidRPr="00A23834">
        <w:rPr>
          <w:rFonts w:ascii="Tahoma" w:eastAsia="標楷體" w:hAnsi="Tahoma" w:cs="Tahoma"/>
          <w:sz w:val="20"/>
          <w:szCs w:val="20"/>
          <w:lang w:eastAsia="zh-HK"/>
        </w:rPr>
        <w:t>amily members</w:t>
      </w:r>
      <w:r w:rsidRPr="00A23834">
        <w:rPr>
          <w:rFonts w:ascii="Tahoma" w:eastAsia="標楷體" w:hAnsi="Tahoma" w:cs="Tahoma"/>
          <w:sz w:val="20"/>
          <w:szCs w:val="20"/>
          <w:lang w:eastAsia="zh-HK"/>
        </w:rPr>
        <w:t xml:space="preserve"> of PEP: </w:t>
      </w:r>
      <w:r w:rsidR="00C35A1B" w:rsidRPr="00A23834">
        <w:rPr>
          <w:rFonts w:ascii="Tahoma" w:eastAsia="標楷體" w:hAnsi="Tahoma" w:cs="Tahoma"/>
          <w:sz w:val="20"/>
          <w:szCs w:val="20"/>
          <w:lang w:eastAsia="zh-HK"/>
        </w:rPr>
        <w:t xml:space="preserve">includes the following: </w:t>
      </w:r>
    </w:p>
    <w:p w14:paraId="7CD8583C" w14:textId="5ABA4A61" w:rsidR="00F94BF2" w:rsidRPr="00A23834" w:rsidRDefault="0029443D" w:rsidP="00677C16">
      <w:pPr>
        <w:pStyle w:val="ListParagraph"/>
        <w:numPr>
          <w:ilvl w:val="2"/>
          <w:numId w:val="5"/>
        </w:numPr>
        <w:snapToGrid w:val="0"/>
        <w:spacing w:line="240" w:lineRule="exact"/>
        <w:ind w:leftChars="0"/>
        <w:jc w:val="both"/>
        <w:rPr>
          <w:rFonts w:ascii="Tahoma" w:eastAsia="標楷體" w:hAnsi="Tahoma" w:cs="Tahoma"/>
          <w:sz w:val="20"/>
          <w:szCs w:val="20"/>
          <w:lang w:eastAsia="zh-HK"/>
        </w:rPr>
      </w:pPr>
      <w:r>
        <w:rPr>
          <w:rFonts w:ascii="Tahoma" w:eastAsia="標楷體" w:hAnsi="Tahoma" w:cs="Tahoma"/>
          <w:sz w:val="20"/>
          <w:szCs w:val="20"/>
          <w:lang w:eastAsia="zh-HK"/>
        </w:rPr>
        <w:t>T</w:t>
      </w:r>
      <w:r w:rsidR="00C35A1B" w:rsidRPr="00A23834">
        <w:rPr>
          <w:rFonts w:ascii="Tahoma" w:eastAsia="標楷體" w:hAnsi="Tahoma" w:cs="Tahoma"/>
          <w:sz w:val="20"/>
          <w:szCs w:val="20"/>
          <w:lang w:eastAsia="zh-HK"/>
        </w:rPr>
        <w:t xml:space="preserve">he spouse, or a person considered to be equivalent to a spouse, of a </w:t>
      </w:r>
      <w:r w:rsidR="009B63D6" w:rsidRPr="00A23834">
        <w:rPr>
          <w:rFonts w:ascii="Tahoma" w:eastAsia="標楷體" w:hAnsi="Tahoma" w:cs="Tahoma"/>
          <w:sz w:val="20"/>
          <w:szCs w:val="20"/>
          <w:lang w:eastAsia="zh-HK"/>
        </w:rPr>
        <w:t>PEP</w:t>
      </w:r>
      <w:r w:rsidR="00F94BF2" w:rsidRPr="00A23834">
        <w:rPr>
          <w:rFonts w:ascii="Tahoma" w:eastAsia="標楷體" w:hAnsi="Tahoma" w:cs="Tahoma"/>
          <w:sz w:val="20"/>
          <w:szCs w:val="20"/>
          <w:lang w:eastAsia="zh-HK"/>
        </w:rPr>
        <w:t>.</w:t>
      </w:r>
    </w:p>
    <w:p w14:paraId="12BDF208" w14:textId="37C4550A" w:rsidR="00C35A1B" w:rsidRPr="00A23834" w:rsidRDefault="0029443D" w:rsidP="00677C16">
      <w:pPr>
        <w:pStyle w:val="ListParagraph"/>
        <w:numPr>
          <w:ilvl w:val="2"/>
          <w:numId w:val="5"/>
        </w:numPr>
        <w:snapToGrid w:val="0"/>
        <w:spacing w:line="240" w:lineRule="exact"/>
        <w:ind w:leftChars="0"/>
        <w:jc w:val="both"/>
        <w:rPr>
          <w:rFonts w:ascii="Tahoma" w:eastAsia="標楷體" w:hAnsi="Tahoma" w:cs="Tahoma"/>
          <w:sz w:val="20"/>
          <w:szCs w:val="20"/>
          <w:lang w:eastAsia="zh-HK"/>
        </w:rPr>
      </w:pPr>
      <w:r>
        <w:rPr>
          <w:rFonts w:ascii="Tahoma" w:eastAsia="標楷體" w:hAnsi="Tahoma" w:cs="Tahoma"/>
          <w:sz w:val="20"/>
          <w:szCs w:val="20"/>
          <w:lang w:eastAsia="zh-HK"/>
        </w:rPr>
        <w:t>T</w:t>
      </w:r>
      <w:r w:rsidR="00C35A1B" w:rsidRPr="00A23834">
        <w:rPr>
          <w:rFonts w:ascii="Tahoma" w:eastAsia="標楷體" w:hAnsi="Tahoma" w:cs="Tahoma"/>
          <w:sz w:val="20"/>
          <w:szCs w:val="20"/>
          <w:lang w:eastAsia="zh-HK"/>
        </w:rPr>
        <w:t>he children and their spouses</w:t>
      </w:r>
      <w:r w:rsidR="00AE6B14" w:rsidRPr="00A23834">
        <w:rPr>
          <w:rFonts w:ascii="Tahoma" w:eastAsia="標楷體" w:hAnsi="Tahoma" w:cs="Tahoma" w:hint="eastAsia"/>
          <w:sz w:val="20"/>
          <w:szCs w:val="20"/>
        </w:rPr>
        <w:t>,</w:t>
      </w:r>
      <w:r w:rsidR="00F94BF2" w:rsidRPr="00A23834">
        <w:rPr>
          <w:rFonts w:ascii="Tahoma" w:eastAsia="標楷體" w:hAnsi="Tahoma" w:cs="Tahoma"/>
          <w:sz w:val="20"/>
          <w:szCs w:val="20"/>
          <w:lang w:eastAsia="zh-HK"/>
        </w:rPr>
        <w:t xml:space="preserve"> </w:t>
      </w:r>
      <w:r w:rsidR="00AE6B14" w:rsidRPr="00A23834">
        <w:rPr>
          <w:rFonts w:ascii="Tahoma" w:eastAsia="標楷體" w:hAnsi="Tahoma" w:cs="Tahoma"/>
          <w:sz w:val="20"/>
          <w:szCs w:val="20"/>
          <w:lang w:eastAsia="zh-HK"/>
        </w:rPr>
        <w:t xml:space="preserve">or persons considered to be equivalent to </w:t>
      </w:r>
      <w:r w:rsidR="00AE6B14" w:rsidRPr="00A23834">
        <w:rPr>
          <w:rFonts w:ascii="Tahoma" w:eastAsia="標楷體" w:hAnsi="Tahoma" w:cs="Tahoma" w:hint="eastAsia"/>
          <w:sz w:val="20"/>
          <w:szCs w:val="20"/>
        </w:rPr>
        <w:t xml:space="preserve">a </w:t>
      </w:r>
      <w:r w:rsidR="00AE6B14" w:rsidRPr="00A23834">
        <w:rPr>
          <w:rFonts w:ascii="Tahoma" w:eastAsia="標楷體" w:hAnsi="Tahoma" w:cs="Tahoma"/>
          <w:sz w:val="20"/>
          <w:szCs w:val="20"/>
          <w:lang w:eastAsia="zh-HK"/>
        </w:rPr>
        <w:t>spouse</w:t>
      </w:r>
      <w:r w:rsidR="00AE6B14" w:rsidRPr="00A23834">
        <w:rPr>
          <w:rFonts w:ascii="Tahoma" w:eastAsia="標楷體" w:hAnsi="Tahoma" w:cs="Tahoma" w:hint="eastAsia"/>
          <w:sz w:val="20"/>
          <w:szCs w:val="20"/>
        </w:rPr>
        <w:t xml:space="preserve"> </w:t>
      </w:r>
      <w:r w:rsidR="00C35A1B" w:rsidRPr="00A23834">
        <w:rPr>
          <w:rFonts w:ascii="Tahoma" w:eastAsia="標楷體" w:hAnsi="Tahoma" w:cs="Tahoma"/>
          <w:sz w:val="20"/>
          <w:szCs w:val="20"/>
          <w:lang w:eastAsia="zh-HK"/>
        </w:rPr>
        <w:t xml:space="preserve">of a </w:t>
      </w:r>
      <w:r w:rsidR="009B63D6" w:rsidRPr="00A23834">
        <w:rPr>
          <w:rFonts w:ascii="Tahoma" w:eastAsia="標楷體" w:hAnsi="Tahoma" w:cs="Tahoma"/>
          <w:sz w:val="20"/>
          <w:szCs w:val="20"/>
          <w:lang w:eastAsia="zh-HK"/>
        </w:rPr>
        <w:t>PEP</w:t>
      </w:r>
      <w:r w:rsidR="00F94BF2" w:rsidRPr="00A23834">
        <w:rPr>
          <w:rFonts w:ascii="Tahoma" w:eastAsia="標楷體" w:hAnsi="Tahoma" w:cs="Tahoma"/>
          <w:sz w:val="20"/>
          <w:szCs w:val="20"/>
          <w:lang w:eastAsia="zh-HK"/>
        </w:rPr>
        <w:t>.</w:t>
      </w:r>
    </w:p>
    <w:p w14:paraId="1BFAD6AE" w14:textId="01FF2665" w:rsidR="00C35A1B" w:rsidRPr="00A23834" w:rsidRDefault="0029443D" w:rsidP="00677C16">
      <w:pPr>
        <w:pStyle w:val="ListParagraph"/>
        <w:numPr>
          <w:ilvl w:val="2"/>
          <w:numId w:val="5"/>
        </w:numPr>
        <w:snapToGrid w:val="0"/>
        <w:spacing w:line="240" w:lineRule="exact"/>
        <w:ind w:leftChars="0"/>
        <w:jc w:val="both"/>
        <w:rPr>
          <w:rFonts w:ascii="Tahoma" w:eastAsia="標楷體" w:hAnsi="Tahoma" w:cs="Tahoma"/>
          <w:sz w:val="20"/>
          <w:szCs w:val="20"/>
          <w:lang w:eastAsia="zh-HK"/>
        </w:rPr>
      </w:pPr>
      <w:r>
        <w:rPr>
          <w:rFonts w:ascii="Tahoma" w:eastAsia="標楷體" w:hAnsi="Tahoma" w:cs="Tahoma"/>
          <w:sz w:val="20"/>
          <w:szCs w:val="20"/>
          <w:lang w:eastAsia="zh-HK"/>
        </w:rPr>
        <w:t>T</w:t>
      </w:r>
      <w:r w:rsidR="00C35A1B" w:rsidRPr="00A23834">
        <w:rPr>
          <w:rFonts w:ascii="Tahoma" w:eastAsia="標楷體" w:hAnsi="Tahoma" w:cs="Tahoma"/>
          <w:sz w:val="20"/>
          <w:szCs w:val="20"/>
          <w:lang w:eastAsia="zh-HK"/>
        </w:rPr>
        <w:t>he parents</w:t>
      </w:r>
      <w:r w:rsidR="00F94BF2" w:rsidRPr="00A23834">
        <w:rPr>
          <w:rFonts w:ascii="Tahoma" w:eastAsia="標楷體" w:hAnsi="Tahoma" w:cs="Tahoma"/>
          <w:sz w:val="20"/>
          <w:szCs w:val="20"/>
          <w:lang w:eastAsia="zh-HK"/>
        </w:rPr>
        <w:t xml:space="preserve"> of a PEP.</w:t>
      </w:r>
    </w:p>
    <w:p w14:paraId="010A866A" w14:textId="3470A84A" w:rsidR="009C2DA9" w:rsidRPr="00A23834" w:rsidRDefault="0029443D" w:rsidP="00677C16">
      <w:pPr>
        <w:pStyle w:val="ListParagraph"/>
        <w:numPr>
          <w:ilvl w:val="2"/>
          <w:numId w:val="5"/>
        </w:numPr>
        <w:snapToGrid w:val="0"/>
        <w:spacing w:line="240" w:lineRule="exact"/>
        <w:ind w:leftChars="0"/>
        <w:jc w:val="both"/>
        <w:rPr>
          <w:rFonts w:ascii="Tahoma" w:eastAsia="標楷體" w:hAnsi="Tahoma" w:cs="Tahoma"/>
          <w:sz w:val="20"/>
          <w:szCs w:val="20"/>
          <w:lang w:eastAsia="zh-HK"/>
        </w:rPr>
      </w:pPr>
      <w:r>
        <w:rPr>
          <w:rFonts w:ascii="Tahoma" w:eastAsia="標楷體" w:hAnsi="Tahoma" w:cs="Tahoma"/>
          <w:sz w:val="20"/>
          <w:szCs w:val="20"/>
          <w:lang w:eastAsia="zh-HK"/>
        </w:rPr>
        <w:t>T</w:t>
      </w:r>
      <w:r w:rsidR="009C2DA9" w:rsidRPr="00A23834">
        <w:rPr>
          <w:rFonts w:ascii="Tahoma" w:eastAsia="標楷體" w:hAnsi="Tahoma" w:cs="Tahoma" w:hint="eastAsia"/>
          <w:sz w:val="20"/>
          <w:szCs w:val="20"/>
          <w:lang w:eastAsia="zh-HK"/>
        </w:rPr>
        <w:t xml:space="preserve">he First-degree lineal relatives by marriage </w:t>
      </w:r>
      <w:r w:rsidR="009C2DA9" w:rsidRPr="00A23834">
        <w:rPr>
          <w:rFonts w:ascii="Tahoma" w:eastAsia="標楷體" w:hAnsi="Tahoma" w:cs="Tahoma"/>
          <w:sz w:val="20"/>
          <w:szCs w:val="20"/>
          <w:lang w:eastAsia="zh-HK"/>
        </w:rPr>
        <w:t>of a PEP</w:t>
      </w:r>
      <w:r w:rsidR="009C2DA9" w:rsidRPr="00A23834">
        <w:rPr>
          <w:rFonts w:ascii="Tahoma" w:eastAsia="標楷體" w:hAnsi="Tahoma" w:cs="Tahoma" w:hint="eastAsia"/>
          <w:sz w:val="20"/>
          <w:szCs w:val="20"/>
          <w:lang w:eastAsia="zh-HK"/>
        </w:rPr>
        <w:t>.</w:t>
      </w:r>
    </w:p>
    <w:p w14:paraId="0BD342A3" w14:textId="60F4F02E" w:rsidR="009C2DA9" w:rsidRPr="00A23834" w:rsidRDefault="0029443D" w:rsidP="00677C16">
      <w:pPr>
        <w:pStyle w:val="ListParagraph"/>
        <w:numPr>
          <w:ilvl w:val="2"/>
          <w:numId w:val="5"/>
        </w:numPr>
        <w:snapToGrid w:val="0"/>
        <w:spacing w:line="240" w:lineRule="exact"/>
        <w:ind w:leftChars="0"/>
        <w:jc w:val="both"/>
        <w:rPr>
          <w:rFonts w:ascii="Tahoma" w:eastAsia="標楷體" w:hAnsi="Tahoma" w:cs="Tahoma"/>
          <w:sz w:val="20"/>
          <w:szCs w:val="20"/>
          <w:lang w:eastAsia="zh-HK"/>
        </w:rPr>
      </w:pPr>
      <w:r>
        <w:rPr>
          <w:rFonts w:ascii="Tahoma" w:eastAsia="標楷體" w:hAnsi="Tahoma" w:cs="Tahoma"/>
          <w:sz w:val="20"/>
          <w:szCs w:val="20"/>
          <w:lang w:eastAsia="zh-HK"/>
        </w:rPr>
        <w:t>T</w:t>
      </w:r>
      <w:r w:rsidR="009C2DA9" w:rsidRPr="00A23834">
        <w:rPr>
          <w:rFonts w:ascii="Tahoma" w:eastAsia="標楷體" w:hAnsi="Tahoma" w:cs="Tahoma" w:hint="eastAsia"/>
          <w:sz w:val="20"/>
          <w:szCs w:val="20"/>
          <w:lang w:eastAsia="zh-HK"/>
        </w:rPr>
        <w:t>he siblings of a PEP.</w:t>
      </w:r>
    </w:p>
    <w:p w14:paraId="42B02E8C" w14:textId="77777777" w:rsidR="009C2DA9" w:rsidRPr="00A23834" w:rsidRDefault="009C2DA9" w:rsidP="00677C16">
      <w:pPr>
        <w:pStyle w:val="ListParagraph"/>
        <w:numPr>
          <w:ilvl w:val="2"/>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hint="eastAsia"/>
          <w:sz w:val="20"/>
          <w:szCs w:val="20"/>
          <w:lang w:eastAsia="zh-HK"/>
        </w:rPr>
        <w:t>Siblings of spouse of a PEP.</w:t>
      </w:r>
    </w:p>
    <w:p w14:paraId="7BF69333" w14:textId="77777777" w:rsidR="00621829" w:rsidRPr="00A23834" w:rsidRDefault="00621829" w:rsidP="00677C16">
      <w:pPr>
        <w:pStyle w:val="ListParagraph"/>
        <w:snapToGrid w:val="0"/>
        <w:spacing w:line="240" w:lineRule="exact"/>
        <w:ind w:leftChars="0" w:left="964"/>
        <w:jc w:val="both"/>
        <w:rPr>
          <w:rFonts w:ascii="Tahoma" w:eastAsia="標楷體" w:hAnsi="Tahoma" w:cs="Tahoma"/>
          <w:sz w:val="20"/>
          <w:szCs w:val="20"/>
          <w:lang w:eastAsia="zh-HK"/>
        </w:rPr>
      </w:pPr>
    </w:p>
    <w:p w14:paraId="3D7A080F" w14:textId="77777777" w:rsidR="00C35A1B" w:rsidRPr="00A23834" w:rsidRDefault="009B63D6"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sz w:val="20"/>
          <w:szCs w:val="20"/>
          <w:lang w:eastAsia="zh-HK"/>
        </w:rPr>
        <w:t>P</w:t>
      </w:r>
      <w:r w:rsidR="00C35A1B" w:rsidRPr="00A23834">
        <w:rPr>
          <w:rFonts w:ascii="Tahoma" w:eastAsia="標楷體" w:hAnsi="Tahoma" w:cs="Tahoma"/>
          <w:sz w:val="20"/>
          <w:szCs w:val="20"/>
          <w:lang w:eastAsia="zh-HK"/>
        </w:rPr>
        <w:t>ersons known to be close associates</w:t>
      </w:r>
      <w:r w:rsidR="00050C6A" w:rsidRPr="00A23834">
        <w:rPr>
          <w:rFonts w:ascii="Tahoma" w:eastAsia="標楷體" w:hAnsi="Tahoma" w:cs="Tahoma"/>
          <w:sz w:val="20"/>
          <w:szCs w:val="20"/>
          <w:lang w:eastAsia="zh-HK"/>
        </w:rPr>
        <w:t xml:space="preserve"> with PEP</w:t>
      </w:r>
      <w:r w:rsidRPr="00A23834">
        <w:rPr>
          <w:rFonts w:ascii="Tahoma" w:eastAsia="標楷體" w:hAnsi="Tahoma" w:cs="Tahoma"/>
          <w:sz w:val="20"/>
          <w:szCs w:val="20"/>
          <w:lang w:eastAsia="zh-HK"/>
        </w:rPr>
        <w:t>:</w:t>
      </w:r>
      <w:r w:rsidR="00C35A1B" w:rsidRPr="00A23834">
        <w:rPr>
          <w:rFonts w:ascii="Tahoma" w:eastAsia="標楷體" w:hAnsi="Tahoma" w:cs="Tahoma"/>
          <w:sz w:val="20"/>
          <w:szCs w:val="20"/>
          <w:lang w:eastAsia="zh-HK"/>
        </w:rPr>
        <w:t xml:space="preserve"> means </w:t>
      </w:r>
    </w:p>
    <w:p w14:paraId="0D93FD18" w14:textId="77777777" w:rsidR="00C35A1B" w:rsidRPr="00A23834" w:rsidRDefault="009B63D6" w:rsidP="00677C16">
      <w:pPr>
        <w:pStyle w:val="ListParagraph"/>
        <w:numPr>
          <w:ilvl w:val="2"/>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sz w:val="20"/>
          <w:szCs w:val="20"/>
          <w:lang w:eastAsia="zh-HK"/>
        </w:rPr>
        <w:t>N</w:t>
      </w:r>
      <w:r w:rsidR="00C35A1B" w:rsidRPr="00A23834">
        <w:rPr>
          <w:rFonts w:ascii="Tahoma" w:eastAsia="標楷體" w:hAnsi="Tahoma" w:cs="Tahoma"/>
          <w:sz w:val="20"/>
          <w:szCs w:val="20"/>
          <w:lang w:eastAsia="zh-HK"/>
        </w:rPr>
        <w:t>atural persons who are known to have joint beneficial ownership of legal entities or legal arrangements, or any other close business relations, with a politically exposed person</w:t>
      </w:r>
      <w:r w:rsidRPr="00A23834">
        <w:rPr>
          <w:rFonts w:ascii="Tahoma" w:eastAsia="標楷體" w:hAnsi="Tahoma" w:cs="Tahoma"/>
          <w:sz w:val="20"/>
          <w:szCs w:val="20"/>
          <w:lang w:eastAsia="zh-HK"/>
        </w:rPr>
        <w:t>.</w:t>
      </w:r>
      <w:r w:rsidR="00C35A1B" w:rsidRPr="00A23834">
        <w:rPr>
          <w:rFonts w:ascii="Tahoma" w:eastAsia="標楷體" w:hAnsi="Tahoma" w:cs="Tahoma"/>
          <w:sz w:val="20"/>
          <w:szCs w:val="20"/>
          <w:lang w:eastAsia="zh-HK"/>
        </w:rPr>
        <w:t xml:space="preserve"> </w:t>
      </w:r>
    </w:p>
    <w:p w14:paraId="01614CCD" w14:textId="77777777" w:rsidR="00C35A1B" w:rsidRPr="00A23834" w:rsidRDefault="009B63D6" w:rsidP="00677C16">
      <w:pPr>
        <w:pStyle w:val="ListParagraph"/>
        <w:numPr>
          <w:ilvl w:val="2"/>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sz w:val="20"/>
          <w:szCs w:val="20"/>
          <w:lang w:eastAsia="zh-HK"/>
        </w:rPr>
        <w:t>N</w:t>
      </w:r>
      <w:r w:rsidR="00C35A1B" w:rsidRPr="00A23834">
        <w:rPr>
          <w:rFonts w:ascii="Tahoma" w:eastAsia="標楷體" w:hAnsi="Tahoma" w:cs="Tahoma"/>
          <w:sz w:val="20"/>
          <w:szCs w:val="20"/>
          <w:lang w:eastAsia="zh-HK"/>
        </w:rPr>
        <w:t xml:space="preserve">atural persons who have sole beneficial ownership of a legal entity or legal arrangement which is known to have been set up for the de facto benefit of a politically exposed person. </w:t>
      </w:r>
    </w:p>
    <w:p w14:paraId="0CCC081A" w14:textId="77777777" w:rsidR="00EC7D8D" w:rsidRPr="00A23834" w:rsidRDefault="00EC7D8D" w:rsidP="00E25E8A">
      <w:pPr>
        <w:pStyle w:val="Heading1"/>
        <w:rPr>
          <w:rFonts w:ascii="Tahoma" w:eastAsia="標楷體" w:hAnsi="Tahoma" w:cs="Tahoma"/>
          <w:color w:val="auto"/>
          <w:sz w:val="24"/>
          <w:szCs w:val="24"/>
          <w:lang w:eastAsia="zh-HK"/>
        </w:rPr>
      </w:pPr>
      <w:bookmarkStart w:id="12" w:name="_Toc142480918"/>
      <w:bookmarkStart w:id="13" w:name="_Toc142484947"/>
      <w:r w:rsidRPr="00A23834">
        <w:rPr>
          <w:rFonts w:ascii="Tahoma" w:eastAsia="標楷體" w:hAnsi="Tahoma" w:cs="Tahoma"/>
          <w:color w:val="auto"/>
          <w:sz w:val="24"/>
          <w:szCs w:val="24"/>
          <w:lang w:eastAsia="zh-HK"/>
        </w:rPr>
        <w:t>Chapter Two</w:t>
      </w:r>
      <w:r w:rsidR="00AF503E" w:rsidRPr="00A23834">
        <w:rPr>
          <w:rFonts w:ascii="Tahoma" w:eastAsia="標楷體" w:hAnsi="Tahoma" w:cs="Tahoma"/>
          <w:color w:val="auto"/>
          <w:sz w:val="24"/>
          <w:szCs w:val="24"/>
          <w:lang w:eastAsia="zh-HK"/>
        </w:rPr>
        <w:t xml:space="preserve">- </w:t>
      </w:r>
      <w:r w:rsidRPr="00A23834">
        <w:rPr>
          <w:rFonts w:ascii="Tahoma" w:eastAsia="標楷體" w:hAnsi="Tahoma" w:cs="Tahoma"/>
          <w:color w:val="auto"/>
          <w:sz w:val="24"/>
          <w:szCs w:val="24"/>
          <w:lang w:eastAsia="zh-HK"/>
        </w:rPr>
        <w:t>Customer Acceptance Policy</w:t>
      </w:r>
      <w:bookmarkEnd w:id="12"/>
      <w:bookmarkEnd w:id="13"/>
    </w:p>
    <w:p w14:paraId="0A5F86B2" w14:textId="13B5DADB" w:rsidR="00C35A1B" w:rsidRPr="00A23834" w:rsidRDefault="00CF74EE" w:rsidP="00E25E8A">
      <w:pPr>
        <w:pStyle w:val="ListParagraph"/>
        <w:numPr>
          <w:ilvl w:val="0"/>
          <w:numId w:val="5"/>
        </w:numPr>
        <w:snapToGrid w:val="0"/>
        <w:spacing w:beforeLines="75" w:before="269" w:line="240" w:lineRule="exact"/>
        <w:ind w:leftChars="0"/>
        <w:jc w:val="both"/>
        <w:outlineLvl w:val="1"/>
        <w:rPr>
          <w:rFonts w:ascii="Tahoma" w:eastAsia="標楷體" w:hAnsi="Tahoma" w:cs="Tahoma"/>
          <w:bCs/>
          <w:sz w:val="20"/>
          <w:szCs w:val="20"/>
        </w:rPr>
      </w:pPr>
      <w:bookmarkStart w:id="14" w:name="_Toc142480919"/>
      <w:bookmarkStart w:id="15" w:name="_Toc142484948"/>
      <w:r>
        <w:rPr>
          <w:rFonts w:ascii="Tahoma" w:eastAsia="標楷體" w:hAnsi="Tahoma" w:cs="Tahoma"/>
          <w:bCs/>
          <w:sz w:val="20"/>
          <w:szCs w:val="20"/>
        </w:rPr>
        <w:t>Conditions to refuse</w:t>
      </w:r>
      <w:bookmarkEnd w:id="14"/>
      <w:bookmarkEnd w:id="15"/>
    </w:p>
    <w:p w14:paraId="3AE1B8EB" w14:textId="77777777" w:rsidR="00CF74EE" w:rsidRDefault="00CF74EE" w:rsidP="00677C16">
      <w:pPr>
        <w:snapToGrid w:val="0"/>
        <w:spacing w:line="240" w:lineRule="exact"/>
        <w:jc w:val="both"/>
        <w:rPr>
          <w:rFonts w:ascii="Tahoma" w:eastAsia="標楷體" w:hAnsi="Tahoma" w:cs="Tahoma"/>
          <w:sz w:val="20"/>
          <w:szCs w:val="20"/>
        </w:rPr>
      </w:pPr>
    </w:p>
    <w:p w14:paraId="0DBF10F4" w14:textId="1C671D74" w:rsidR="00836ED5" w:rsidRPr="00A23834" w:rsidRDefault="00836ED5" w:rsidP="00677C16">
      <w:pPr>
        <w:snapToGrid w:val="0"/>
        <w:spacing w:line="240" w:lineRule="exact"/>
        <w:jc w:val="both"/>
        <w:rPr>
          <w:rFonts w:ascii="Tahoma" w:eastAsia="標楷體" w:hAnsi="Tahoma" w:cs="Tahoma"/>
          <w:sz w:val="20"/>
          <w:szCs w:val="20"/>
        </w:rPr>
      </w:pPr>
      <w:r w:rsidRPr="00A23834">
        <w:rPr>
          <w:rFonts w:ascii="Tahoma" w:eastAsia="標楷體" w:hAnsi="Tahoma" w:cs="Tahoma"/>
          <w:sz w:val="20"/>
          <w:szCs w:val="20"/>
        </w:rPr>
        <w:t xml:space="preserve">Under following </w:t>
      </w:r>
      <w:r w:rsidR="00482DAF" w:rsidRPr="00A23834">
        <w:rPr>
          <w:rFonts w:ascii="Tahoma" w:eastAsia="標楷體" w:hAnsi="Tahoma" w:cs="Tahoma"/>
          <w:sz w:val="20"/>
          <w:szCs w:val="20"/>
        </w:rPr>
        <w:t>conditions,</w:t>
      </w:r>
      <w:r w:rsidRPr="00A23834">
        <w:rPr>
          <w:rFonts w:ascii="Tahoma" w:eastAsia="標楷體" w:hAnsi="Tahoma" w:cs="Tahoma"/>
          <w:sz w:val="20"/>
          <w:szCs w:val="20"/>
        </w:rPr>
        <w:t xml:space="preserve"> the bank should refuse those who ask for having a business relationship:</w:t>
      </w:r>
    </w:p>
    <w:p w14:paraId="75FA17E6" w14:textId="77777777" w:rsidR="001C001D" w:rsidRPr="00A23834" w:rsidRDefault="000C03EB"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sz w:val="20"/>
          <w:szCs w:val="20"/>
          <w:lang w:eastAsia="zh-HK"/>
        </w:rPr>
        <w:t>Credit institutions that have no offices in the country where their statutory office is established and that are not affiliated to a financial group submitted to a regulation following the recommendations of the GAFI or that are not subject to an effective consolidated supervision.</w:t>
      </w:r>
      <w:r w:rsidR="00B1029D" w:rsidRPr="00A23834">
        <w:rPr>
          <w:rFonts w:ascii="Tahoma" w:eastAsia="標楷體" w:hAnsi="Tahoma" w:cs="Tahoma" w:hint="eastAsia"/>
          <w:sz w:val="20"/>
          <w:szCs w:val="20"/>
          <w:lang w:eastAsia="zh-HK"/>
        </w:rPr>
        <w:t xml:space="preserve"> </w:t>
      </w:r>
    </w:p>
    <w:p w14:paraId="1673BE0B" w14:textId="77777777" w:rsidR="005E2060" w:rsidRPr="00A23834" w:rsidRDefault="005E2060"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sz w:val="20"/>
          <w:szCs w:val="20"/>
          <w:lang w:eastAsia="zh-HK"/>
        </w:rPr>
        <w:t>Credit Ins</w:t>
      </w:r>
      <w:r w:rsidR="00710359" w:rsidRPr="00A23834">
        <w:rPr>
          <w:rFonts w:ascii="Tahoma" w:eastAsia="標楷體" w:hAnsi="Tahoma" w:cs="Tahoma" w:hint="eastAsia"/>
          <w:sz w:val="20"/>
          <w:szCs w:val="20"/>
          <w:lang w:eastAsia="zh-HK"/>
        </w:rPr>
        <w:t>t</w:t>
      </w:r>
      <w:r w:rsidRPr="00A23834">
        <w:rPr>
          <w:rFonts w:ascii="Tahoma" w:eastAsia="標楷體" w:hAnsi="Tahoma" w:cs="Tahoma"/>
          <w:sz w:val="20"/>
          <w:szCs w:val="20"/>
          <w:lang w:eastAsia="zh-HK"/>
        </w:rPr>
        <w:t xml:space="preserve">itutions that seek </w:t>
      </w:r>
      <w:r w:rsidRPr="00A23834">
        <w:rPr>
          <w:rFonts w:ascii="Tahoma" w:eastAsia="標楷體" w:hAnsi="Tahoma" w:cs="Tahoma" w:hint="eastAsia"/>
          <w:sz w:val="20"/>
          <w:szCs w:val="20"/>
          <w:lang w:eastAsia="zh-HK"/>
        </w:rPr>
        <w:t>to</w:t>
      </w:r>
      <w:r w:rsidRPr="00A23834">
        <w:rPr>
          <w:rFonts w:ascii="Tahoma" w:eastAsia="標楷體" w:hAnsi="Tahoma" w:cs="Tahoma"/>
          <w:sz w:val="20"/>
          <w:szCs w:val="20"/>
          <w:lang w:eastAsia="zh-HK"/>
        </w:rPr>
        <w:t xml:space="preserve"> open and </w:t>
      </w:r>
      <w:r w:rsidRPr="00A23834">
        <w:rPr>
          <w:rFonts w:ascii="Tahoma" w:eastAsia="標楷體" w:hAnsi="Tahoma" w:cs="Tahoma" w:hint="eastAsia"/>
          <w:sz w:val="20"/>
          <w:szCs w:val="20"/>
          <w:lang w:eastAsia="zh-HK"/>
        </w:rPr>
        <w:t>to</w:t>
      </w:r>
      <w:r w:rsidRPr="00A23834">
        <w:rPr>
          <w:rFonts w:ascii="Tahoma" w:eastAsia="標楷體" w:hAnsi="Tahoma" w:cs="Tahoma"/>
          <w:sz w:val="20"/>
          <w:szCs w:val="20"/>
          <w:lang w:eastAsia="zh-HK"/>
        </w:rPr>
        <w:t xml:space="preserve"> keep of anonymous and fictitious named accounts</w:t>
      </w:r>
      <w:r w:rsidRPr="00A23834">
        <w:rPr>
          <w:rFonts w:ascii="Tahoma" w:eastAsia="標楷體" w:hAnsi="Tahoma" w:cs="Tahoma" w:hint="eastAsia"/>
          <w:sz w:val="20"/>
          <w:szCs w:val="20"/>
          <w:lang w:eastAsia="zh-HK"/>
        </w:rPr>
        <w:t>.</w:t>
      </w:r>
      <w:r w:rsidRPr="00A23834">
        <w:rPr>
          <w:rFonts w:ascii="Tahoma" w:eastAsia="標楷體" w:hAnsi="Tahoma" w:cs="Tahoma"/>
          <w:sz w:val="20"/>
          <w:szCs w:val="20"/>
          <w:lang w:eastAsia="zh-HK"/>
        </w:rPr>
        <w:t xml:space="preserve"> </w:t>
      </w:r>
    </w:p>
    <w:p w14:paraId="714E6204" w14:textId="6FC78023" w:rsidR="005E2060" w:rsidRPr="00A23834" w:rsidRDefault="005E2060"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hint="eastAsia"/>
          <w:sz w:val="20"/>
          <w:szCs w:val="20"/>
          <w:lang w:eastAsia="zh-HK"/>
        </w:rPr>
        <w:t>U</w:t>
      </w:r>
      <w:r w:rsidRPr="00A23834">
        <w:rPr>
          <w:rFonts w:ascii="Tahoma" w:eastAsia="標楷體" w:hAnsi="Tahoma" w:cs="Tahoma"/>
          <w:sz w:val="20"/>
          <w:szCs w:val="20"/>
          <w:lang w:eastAsia="zh-HK"/>
        </w:rPr>
        <w:t xml:space="preserve">nlicensed banks and/or NBFIs who </w:t>
      </w:r>
      <w:r w:rsidRPr="00A23834">
        <w:rPr>
          <w:rFonts w:ascii="Tahoma" w:eastAsia="標楷體" w:hAnsi="Tahoma" w:cs="Tahoma" w:hint="eastAsia"/>
          <w:sz w:val="20"/>
          <w:szCs w:val="20"/>
          <w:lang w:eastAsia="zh-HK"/>
        </w:rPr>
        <w:t>seek</w:t>
      </w:r>
      <w:r w:rsidRPr="00A23834">
        <w:rPr>
          <w:rFonts w:ascii="Tahoma" w:eastAsia="標楷體" w:hAnsi="Tahoma" w:cs="Tahoma"/>
          <w:sz w:val="20"/>
          <w:szCs w:val="20"/>
          <w:lang w:eastAsia="zh-HK"/>
        </w:rPr>
        <w:t xml:space="preserve"> </w:t>
      </w:r>
      <w:r w:rsidRPr="00A23834">
        <w:rPr>
          <w:rFonts w:ascii="Tahoma" w:eastAsia="標楷體" w:hAnsi="Tahoma" w:cs="Tahoma" w:hint="eastAsia"/>
          <w:sz w:val="20"/>
          <w:szCs w:val="20"/>
          <w:lang w:eastAsia="zh-HK"/>
        </w:rPr>
        <w:t>to open and to keep account</w:t>
      </w:r>
      <w:r w:rsidRPr="00A23834">
        <w:rPr>
          <w:rFonts w:ascii="Tahoma" w:eastAsia="標楷體" w:hAnsi="Tahoma" w:cs="Tahoma"/>
          <w:sz w:val="20"/>
          <w:szCs w:val="20"/>
          <w:lang w:eastAsia="zh-HK"/>
        </w:rPr>
        <w:t>s</w:t>
      </w:r>
      <w:r w:rsidRPr="00A23834">
        <w:rPr>
          <w:rFonts w:ascii="Tahoma" w:eastAsia="標楷體" w:hAnsi="Tahoma" w:cs="Tahoma" w:hint="eastAsia"/>
          <w:sz w:val="20"/>
          <w:szCs w:val="20"/>
          <w:lang w:eastAsia="zh-HK"/>
        </w:rPr>
        <w:t>.</w:t>
      </w:r>
      <w:r w:rsidRPr="00A23834">
        <w:rPr>
          <w:rFonts w:ascii="Tahoma" w:eastAsia="標楷體" w:hAnsi="Tahoma" w:cs="Tahoma"/>
          <w:sz w:val="20"/>
          <w:szCs w:val="20"/>
          <w:lang w:eastAsia="zh-HK"/>
        </w:rPr>
        <w:t xml:space="preserve"> </w:t>
      </w:r>
    </w:p>
    <w:p w14:paraId="6713323B" w14:textId="77777777" w:rsidR="005E2060" w:rsidRPr="00A23834" w:rsidRDefault="005E2060"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hint="eastAsia"/>
          <w:sz w:val="20"/>
          <w:szCs w:val="20"/>
          <w:lang w:eastAsia="zh-HK"/>
        </w:rPr>
        <w:t>Credit institution</w:t>
      </w:r>
      <w:r w:rsidRPr="00A23834">
        <w:rPr>
          <w:rFonts w:ascii="Tahoma" w:eastAsia="標楷體" w:hAnsi="Tahoma" w:cs="Tahoma"/>
          <w:sz w:val="20"/>
          <w:szCs w:val="20"/>
          <w:lang w:eastAsia="zh-HK"/>
        </w:rPr>
        <w:t xml:space="preserve">s that </w:t>
      </w:r>
      <w:r w:rsidRPr="00A23834">
        <w:rPr>
          <w:rFonts w:ascii="Tahoma" w:eastAsia="標楷體" w:hAnsi="Tahoma" w:cs="Tahoma" w:hint="eastAsia"/>
          <w:sz w:val="20"/>
          <w:szCs w:val="20"/>
          <w:lang w:eastAsia="zh-HK"/>
        </w:rPr>
        <w:t>provide</w:t>
      </w:r>
      <w:r w:rsidRPr="00A23834">
        <w:rPr>
          <w:rFonts w:ascii="Tahoma" w:eastAsia="標楷體" w:hAnsi="Tahoma" w:cs="Tahoma"/>
          <w:sz w:val="20"/>
          <w:szCs w:val="20"/>
          <w:lang w:eastAsia="zh-HK"/>
        </w:rPr>
        <w:t xml:space="preserve"> banking services to unlicensed banks</w:t>
      </w:r>
      <w:r w:rsidRPr="00A23834">
        <w:rPr>
          <w:rFonts w:ascii="Tahoma" w:eastAsia="標楷體" w:hAnsi="Tahoma" w:cs="Tahoma" w:hint="eastAsia"/>
          <w:sz w:val="20"/>
          <w:szCs w:val="20"/>
          <w:lang w:eastAsia="zh-HK"/>
        </w:rPr>
        <w:t>.</w:t>
      </w:r>
    </w:p>
    <w:p w14:paraId="667AE829" w14:textId="77777777" w:rsidR="005E2060" w:rsidRPr="00A23834" w:rsidRDefault="005E2060"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hint="eastAsia"/>
          <w:sz w:val="20"/>
          <w:szCs w:val="20"/>
          <w:lang w:eastAsia="zh-HK"/>
        </w:rPr>
        <w:t>S</w:t>
      </w:r>
      <w:r w:rsidRPr="00A23834">
        <w:rPr>
          <w:rFonts w:ascii="Tahoma" w:eastAsia="標楷體" w:hAnsi="Tahoma" w:cs="Tahoma"/>
          <w:sz w:val="20"/>
          <w:szCs w:val="20"/>
          <w:lang w:eastAsia="zh-HK"/>
        </w:rPr>
        <w:t xml:space="preserve">hell banks who </w:t>
      </w:r>
      <w:r w:rsidRPr="00A23834">
        <w:rPr>
          <w:rFonts w:ascii="Tahoma" w:eastAsia="標楷體" w:hAnsi="Tahoma" w:cs="Tahoma" w:hint="eastAsia"/>
          <w:sz w:val="20"/>
          <w:szCs w:val="20"/>
          <w:lang w:eastAsia="zh-HK"/>
        </w:rPr>
        <w:t>seek</w:t>
      </w:r>
      <w:r w:rsidRPr="00A23834">
        <w:rPr>
          <w:rFonts w:ascii="Tahoma" w:eastAsia="標楷體" w:hAnsi="Tahoma" w:cs="Tahoma"/>
          <w:sz w:val="20"/>
          <w:szCs w:val="20"/>
          <w:lang w:eastAsia="zh-HK"/>
        </w:rPr>
        <w:t xml:space="preserve"> </w:t>
      </w:r>
      <w:r w:rsidRPr="00A23834">
        <w:rPr>
          <w:rFonts w:ascii="Tahoma" w:eastAsia="標楷體" w:hAnsi="Tahoma" w:cs="Tahoma" w:hint="eastAsia"/>
          <w:sz w:val="20"/>
          <w:szCs w:val="20"/>
          <w:lang w:eastAsia="zh-HK"/>
        </w:rPr>
        <w:t xml:space="preserve">to open </w:t>
      </w:r>
      <w:r w:rsidRPr="00A23834">
        <w:rPr>
          <w:rFonts w:ascii="Tahoma" w:eastAsia="標楷體" w:hAnsi="Tahoma" w:cs="Tahoma"/>
          <w:sz w:val="20"/>
          <w:szCs w:val="20"/>
          <w:lang w:eastAsia="zh-HK"/>
        </w:rPr>
        <w:t>accounts</w:t>
      </w:r>
      <w:r w:rsidRPr="00A23834">
        <w:rPr>
          <w:rFonts w:ascii="Tahoma" w:eastAsia="標楷體" w:hAnsi="Tahoma" w:cs="Tahoma" w:hint="eastAsia"/>
          <w:sz w:val="20"/>
          <w:szCs w:val="20"/>
          <w:lang w:eastAsia="zh-HK"/>
        </w:rPr>
        <w:t xml:space="preserve"> or to establish business </w:t>
      </w:r>
      <w:r w:rsidRPr="00A23834">
        <w:rPr>
          <w:rFonts w:ascii="Tahoma" w:eastAsia="標楷體" w:hAnsi="Tahoma" w:cs="Tahoma"/>
          <w:sz w:val="20"/>
          <w:szCs w:val="20"/>
          <w:lang w:eastAsia="zh-HK"/>
        </w:rPr>
        <w:t xml:space="preserve">relationships. </w:t>
      </w:r>
    </w:p>
    <w:p w14:paraId="142947DC" w14:textId="77777777" w:rsidR="005E2060" w:rsidRPr="00A23834" w:rsidRDefault="005E2060"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hint="eastAsia"/>
          <w:sz w:val="20"/>
          <w:szCs w:val="20"/>
          <w:lang w:eastAsia="zh-HK"/>
        </w:rPr>
        <w:t>Credit institution</w:t>
      </w:r>
      <w:r w:rsidRPr="00A23834">
        <w:rPr>
          <w:rFonts w:ascii="Tahoma" w:eastAsia="標楷體" w:hAnsi="Tahoma" w:cs="Tahoma"/>
          <w:sz w:val="20"/>
          <w:szCs w:val="20"/>
          <w:lang w:eastAsia="zh-HK"/>
        </w:rPr>
        <w:t>s that provide services to shell banks</w:t>
      </w:r>
      <w:r w:rsidRPr="00A23834">
        <w:rPr>
          <w:rFonts w:ascii="Tahoma" w:eastAsia="標楷體" w:hAnsi="Tahoma" w:cs="Tahoma" w:hint="eastAsia"/>
          <w:sz w:val="20"/>
          <w:szCs w:val="20"/>
          <w:lang w:eastAsia="zh-HK"/>
        </w:rPr>
        <w:t>.</w:t>
      </w:r>
      <w:r w:rsidRPr="00A23834">
        <w:rPr>
          <w:rFonts w:ascii="Tahoma" w:eastAsia="標楷體" w:hAnsi="Tahoma" w:cs="Tahoma"/>
          <w:sz w:val="20"/>
          <w:szCs w:val="20"/>
          <w:lang w:eastAsia="zh-HK"/>
        </w:rPr>
        <w:t xml:space="preserve"> </w:t>
      </w:r>
    </w:p>
    <w:p w14:paraId="0EB68A08" w14:textId="77777777" w:rsidR="005E2060" w:rsidRPr="00A23834" w:rsidRDefault="005E2060"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hint="eastAsia"/>
          <w:sz w:val="20"/>
          <w:szCs w:val="20"/>
          <w:lang w:eastAsia="zh-HK"/>
        </w:rPr>
        <w:t>Credit institution</w:t>
      </w:r>
      <w:r w:rsidRPr="00A23834">
        <w:rPr>
          <w:rFonts w:ascii="Tahoma" w:eastAsia="標楷體" w:hAnsi="Tahoma" w:cs="Tahoma"/>
          <w:sz w:val="20"/>
          <w:szCs w:val="20"/>
          <w:lang w:eastAsia="zh-HK"/>
        </w:rPr>
        <w:t>s</w:t>
      </w:r>
      <w:r w:rsidRPr="00A23834">
        <w:rPr>
          <w:rFonts w:ascii="Tahoma" w:eastAsia="標楷體" w:hAnsi="Tahoma" w:cs="Tahoma" w:hint="eastAsia"/>
          <w:sz w:val="20"/>
          <w:szCs w:val="20"/>
          <w:lang w:eastAsia="zh-HK"/>
        </w:rPr>
        <w:t xml:space="preserve"> designated by section 311 </w:t>
      </w:r>
      <w:r w:rsidRPr="00A23834">
        <w:rPr>
          <w:rFonts w:ascii="Tahoma" w:eastAsia="標楷體" w:hAnsi="Tahoma" w:cs="Tahoma"/>
          <w:sz w:val="20"/>
          <w:szCs w:val="20"/>
          <w:lang w:eastAsia="zh-HK"/>
        </w:rPr>
        <w:t xml:space="preserve">who </w:t>
      </w:r>
      <w:r w:rsidRPr="00A23834">
        <w:rPr>
          <w:rFonts w:ascii="Tahoma" w:eastAsia="標楷體" w:hAnsi="Tahoma" w:cs="Tahoma" w:hint="eastAsia"/>
          <w:sz w:val="20"/>
          <w:szCs w:val="20"/>
          <w:lang w:eastAsia="zh-HK"/>
        </w:rPr>
        <w:t>seek</w:t>
      </w:r>
      <w:r w:rsidRPr="00A23834">
        <w:rPr>
          <w:rFonts w:ascii="Tahoma" w:eastAsia="標楷體" w:hAnsi="Tahoma" w:cs="Tahoma"/>
          <w:sz w:val="20"/>
          <w:szCs w:val="20"/>
          <w:lang w:eastAsia="zh-HK"/>
        </w:rPr>
        <w:t xml:space="preserve"> </w:t>
      </w:r>
      <w:r w:rsidRPr="00A23834">
        <w:rPr>
          <w:rFonts w:ascii="Tahoma" w:eastAsia="標楷體" w:hAnsi="Tahoma" w:cs="Tahoma" w:hint="eastAsia"/>
          <w:sz w:val="20"/>
          <w:szCs w:val="20"/>
          <w:lang w:eastAsia="zh-HK"/>
        </w:rPr>
        <w:t xml:space="preserve">to open and to keep </w:t>
      </w:r>
      <w:r w:rsidRPr="00A23834">
        <w:rPr>
          <w:rFonts w:ascii="Tahoma" w:eastAsia="標楷體" w:hAnsi="Tahoma" w:cs="Tahoma"/>
          <w:sz w:val="20"/>
          <w:szCs w:val="20"/>
          <w:lang w:eastAsia="zh-HK"/>
        </w:rPr>
        <w:t>an</w:t>
      </w:r>
      <w:r w:rsidRPr="00A23834">
        <w:rPr>
          <w:rFonts w:ascii="Tahoma" w:eastAsia="標楷體" w:hAnsi="Tahoma" w:cs="Tahoma" w:hint="eastAsia"/>
          <w:sz w:val="20"/>
          <w:szCs w:val="20"/>
          <w:lang w:eastAsia="zh-HK"/>
        </w:rPr>
        <w:t xml:space="preserve"> account.</w:t>
      </w:r>
    </w:p>
    <w:p w14:paraId="0BDA16D9" w14:textId="77777777" w:rsidR="005E2060" w:rsidRPr="00A23834" w:rsidRDefault="005E2060"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sz w:val="20"/>
          <w:szCs w:val="20"/>
          <w:lang w:eastAsia="zh-HK"/>
        </w:rPr>
        <w:t>C</w:t>
      </w:r>
      <w:r w:rsidRPr="00A23834">
        <w:rPr>
          <w:rFonts w:ascii="Tahoma" w:eastAsia="標楷體" w:hAnsi="Tahoma" w:cs="Tahoma" w:hint="eastAsia"/>
          <w:sz w:val="20"/>
          <w:szCs w:val="20"/>
          <w:lang w:eastAsia="zh-HK"/>
        </w:rPr>
        <w:t xml:space="preserve">redit institutions, such as </w:t>
      </w:r>
      <w:r w:rsidRPr="00A23834">
        <w:rPr>
          <w:rFonts w:ascii="Tahoma" w:eastAsia="標楷體" w:hAnsi="Tahoma" w:cs="Tahoma"/>
          <w:sz w:val="20"/>
          <w:szCs w:val="20"/>
          <w:lang w:eastAsia="zh-HK"/>
        </w:rPr>
        <w:t>unlicensed/unregulated remittance agents</w:t>
      </w:r>
      <w:r w:rsidRPr="00A23834">
        <w:rPr>
          <w:rFonts w:ascii="Tahoma" w:eastAsia="標楷體" w:hAnsi="Tahoma" w:cs="Tahoma" w:hint="eastAsia"/>
          <w:sz w:val="20"/>
          <w:szCs w:val="20"/>
          <w:lang w:eastAsia="zh-HK"/>
        </w:rPr>
        <w:t xml:space="preserve">, </w:t>
      </w:r>
      <w:r w:rsidRPr="00A23834">
        <w:rPr>
          <w:rFonts w:ascii="Tahoma" w:eastAsia="標楷體" w:hAnsi="Tahoma" w:cs="Tahoma"/>
          <w:sz w:val="20"/>
          <w:szCs w:val="20"/>
          <w:lang w:eastAsia="zh-HK"/>
        </w:rPr>
        <w:t>exchanges houses,</w:t>
      </w:r>
      <w:r w:rsidRPr="00A23834">
        <w:rPr>
          <w:rFonts w:ascii="Tahoma" w:eastAsia="標楷體" w:hAnsi="Tahoma" w:cs="Tahoma" w:hint="eastAsia"/>
          <w:sz w:val="20"/>
          <w:szCs w:val="20"/>
          <w:lang w:eastAsia="zh-HK"/>
        </w:rPr>
        <w:t xml:space="preserve"> </w:t>
      </w:r>
      <w:r w:rsidRPr="00A23834">
        <w:rPr>
          <w:rFonts w:ascii="Tahoma" w:eastAsia="標楷體" w:hAnsi="Tahoma" w:cs="Tahoma"/>
          <w:sz w:val="20"/>
          <w:szCs w:val="20"/>
          <w:lang w:eastAsia="zh-HK"/>
        </w:rPr>
        <w:t>money transfer agents</w:t>
      </w:r>
      <w:r w:rsidRPr="00A23834">
        <w:rPr>
          <w:rFonts w:ascii="Tahoma" w:eastAsia="標楷體" w:hAnsi="Tahoma" w:cs="Tahoma" w:hint="eastAsia"/>
          <w:sz w:val="20"/>
          <w:szCs w:val="20"/>
          <w:lang w:eastAsia="zh-HK"/>
        </w:rPr>
        <w:t xml:space="preserve">, seek to </w:t>
      </w:r>
      <w:r w:rsidRPr="00A23834">
        <w:rPr>
          <w:rFonts w:ascii="Tahoma" w:eastAsia="標楷體" w:hAnsi="Tahoma" w:cs="Tahoma"/>
          <w:sz w:val="20"/>
          <w:szCs w:val="20"/>
          <w:lang w:eastAsia="zh-HK"/>
        </w:rPr>
        <w:t xml:space="preserve">open and to keep </w:t>
      </w:r>
      <w:r w:rsidRPr="00A23834">
        <w:rPr>
          <w:rFonts w:ascii="Tahoma" w:eastAsia="標楷體" w:hAnsi="Tahoma" w:cs="Tahoma" w:hint="eastAsia"/>
          <w:sz w:val="20"/>
          <w:szCs w:val="20"/>
          <w:lang w:eastAsia="zh-HK"/>
        </w:rPr>
        <w:t>accounts.</w:t>
      </w:r>
    </w:p>
    <w:p w14:paraId="48AB3050" w14:textId="77777777" w:rsidR="00EC7D8D" w:rsidRPr="00A23834" w:rsidRDefault="00F537DC"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sz w:val="20"/>
          <w:szCs w:val="20"/>
        </w:rPr>
        <w:t>The customer is</w:t>
      </w:r>
      <w:r w:rsidR="00836ED5" w:rsidRPr="00A23834">
        <w:rPr>
          <w:rFonts w:ascii="Tahoma" w:eastAsia="標楷體" w:hAnsi="Tahoma" w:cs="Tahoma"/>
          <w:sz w:val="20"/>
          <w:szCs w:val="20"/>
        </w:rPr>
        <w:t xml:space="preserve"> suspicious to open an Anonymous account or under a pseudonym or false name.</w:t>
      </w:r>
    </w:p>
    <w:p w14:paraId="6A6950B7" w14:textId="2FAF08A0" w:rsidR="008510AD" w:rsidRPr="00A23834" w:rsidRDefault="00F537DC"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The customer refuses</w:t>
      </w:r>
      <w:r w:rsidR="00BD3104" w:rsidRPr="00A23834">
        <w:rPr>
          <w:rFonts w:ascii="Tahoma" w:eastAsia="標楷體" w:hAnsi="Tahoma" w:cs="Tahoma"/>
          <w:sz w:val="20"/>
          <w:szCs w:val="20"/>
        </w:rPr>
        <w:t xml:space="preserve"> </w:t>
      </w:r>
      <w:r w:rsidRPr="00A23834">
        <w:rPr>
          <w:rFonts w:ascii="Tahoma" w:eastAsia="標楷體" w:hAnsi="Tahoma" w:cs="Tahoma"/>
          <w:sz w:val="20"/>
          <w:szCs w:val="20"/>
        </w:rPr>
        <w:t>to provide related documents</w:t>
      </w:r>
      <w:r w:rsidR="00BD3104" w:rsidRPr="00A23834">
        <w:rPr>
          <w:rFonts w:ascii="Tahoma" w:eastAsia="標楷體" w:hAnsi="Tahoma" w:cs="Tahoma"/>
          <w:sz w:val="20"/>
          <w:szCs w:val="20"/>
        </w:rPr>
        <w:t xml:space="preserve"> for verifying identity, or </w:t>
      </w:r>
      <w:r w:rsidRPr="00A23834">
        <w:rPr>
          <w:rFonts w:ascii="Tahoma" w:eastAsia="標楷體" w:hAnsi="Tahoma" w:cs="Tahoma"/>
          <w:sz w:val="20"/>
          <w:szCs w:val="20"/>
        </w:rPr>
        <w:t>provides</w:t>
      </w:r>
      <w:r w:rsidR="00BD3104" w:rsidRPr="00A23834">
        <w:rPr>
          <w:rFonts w:ascii="Tahoma" w:eastAsia="標楷體" w:hAnsi="Tahoma" w:cs="Tahoma"/>
          <w:sz w:val="20"/>
          <w:szCs w:val="20"/>
        </w:rPr>
        <w:t xml:space="preserve"> incorrect or incomplete identification information attempting to conceal </w:t>
      </w:r>
      <w:r w:rsidR="00180212" w:rsidRPr="00A23834">
        <w:rPr>
          <w:rFonts w:ascii="Tahoma" w:eastAsia="標楷體" w:hAnsi="Tahoma" w:cs="Tahoma"/>
          <w:sz w:val="20"/>
          <w:szCs w:val="20"/>
        </w:rPr>
        <w:t xml:space="preserve">his/her own identity or the customer’s </w:t>
      </w:r>
      <w:r w:rsidR="00BD3104" w:rsidRPr="00A23834">
        <w:rPr>
          <w:rFonts w:ascii="Tahoma" w:eastAsia="標楷體" w:hAnsi="Tahoma" w:cs="Tahoma"/>
          <w:sz w:val="20"/>
          <w:szCs w:val="20"/>
        </w:rPr>
        <w:t>beneficial owner identity.</w:t>
      </w:r>
    </w:p>
    <w:p w14:paraId="654A6CA5" w14:textId="77777777" w:rsidR="00710359" w:rsidRPr="00A23834" w:rsidRDefault="00710359"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sz w:val="20"/>
          <w:szCs w:val="20"/>
          <w:lang w:eastAsia="zh-HK"/>
        </w:rPr>
        <w:t>In the case that any person acts on behalf of a customer, it is difficult to verify that the person purporting to act on behalf of the customer is so authorized and it is difficult to verify the identity of that person.</w:t>
      </w:r>
    </w:p>
    <w:p w14:paraId="7336F2EB" w14:textId="77777777" w:rsidR="008510AD" w:rsidRPr="00A23834" w:rsidRDefault="00F537DC"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The customer uses</w:t>
      </w:r>
      <w:r w:rsidR="00962A85" w:rsidRPr="00A23834">
        <w:rPr>
          <w:rFonts w:ascii="Tahoma" w:eastAsia="標楷體" w:hAnsi="Tahoma" w:cs="Tahoma"/>
          <w:sz w:val="20"/>
          <w:szCs w:val="20"/>
        </w:rPr>
        <w:t xml:space="preserve"> forged or fraudulent identific</w:t>
      </w:r>
      <w:r w:rsidR="00180212" w:rsidRPr="00A23834">
        <w:rPr>
          <w:rFonts w:ascii="Tahoma" w:eastAsia="標楷體" w:hAnsi="Tahoma" w:cs="Tahoma"/>
          <w:sz w:val="20"/>
          <w:szCs w:val="20"/>
        </w:rPr>
        <w:t>ation documents or only provid</w:t>
      </w:r>
      <w:r w:rsidRPr="00A23834">
        <w:rPr>
          <w:rFonts w:ascii="Tahoma" w:eastAsia="標楷體" w:hAnsi="Tahoma" w:cs="Tahoma"/>
          <w:sz w:val="20"/>
          <w:szCs w:val="20"/>
        </w:rPr>
        <w:t>es</w:t>
      </w:r>
      <w:r w:rsidR="00962A85" w:rsidRPr="00A23834">
        <w:rPr>
          <w:rFonts w:ascii="Tahoma" w:eastAsia="標楷體" w:hAnsi="Tahoma" w:cs="Tahoma"/>
          <w:sz w:val="20"/>
          <w:szCs w:val="20"/>
        </w:rPr>
        <w:t xml:space="preserve"> photocopies of the identification documents</w:t>
      </w:r>
      <w:r w:rsidR="00180212" w:rsidRPr="00A23834">
        <w:rPr>
          <w:rFonts w:ascii="Tahoma" w:eastAsia="標楷體" w:hAnsi="Tahoma" w:cs="Tahoma"/>
          <w:sz w:val="20"/>
          <w:szCs w:val="20"/>
        </w:rPr>
        <w:t>.</w:t>
      </w:r>
    </w:p>
    <w:p w14:paraId="1E1220AD" w14:textId="77777777" w:rsidR="008510AD" w:rsidRPr="00A23834" w:rsidRDefault="00F537DC"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The customer p</w:t>
      </w:r>
      <w:r w:rsidR="00180212" w:rsidRPr="00A23834">
        <w:rPr>
          <w:rFonts w:ascii="Tahoma" w:eastAsia="標楷體" w:hAnsi="Tahoma" w:cs="Tahoma"/>
          <w:sz w:val="20"/>
          <w:szCs w:val="20"/>
        </w:rPr>
        <w:t>rovid</w:t>
      </w:r>
      <w:r w:rsidRPr="00A23834">
        <w:rPr>
          <w:rFonts w:ascii="Tahoma" w:eastAsia="標楷體" w:hAnsi="Tahoma" w:cs="Tahoma"/>
          <w:sz w:val="20"/>
          <w:szCs w:val="20"/>
        </w:rPr>
        <w:t>es</w:t>
      </w:r>
      <w:r w:rsidR="00962A85" w:rsidRPr="00A23834">
        <w:rPr>
          <w:rFonts w:ascii="Tahoma" w:eastAsia="標楷體" w:hAnsi="Tahoma" w:cs="Tahoma"/>
          <w:sz w:val="20"/>
          <w:szCs w:val="20"/>
        </w:rPr>
        <w:t xml:space="preserve"> suspicious or unclear</w:t>
      </w:r>
      <w:r w:rsidRPr="00A23834">
        <w:rPr>
          <w:rFonts w:ascii="Tahoma" w:eastAsia="標楷體" w:hAnsi="Tahoma" w:cs="Tahoma"/>
          <w:sz w:val="20"/>
          <w:szCs w:val="20"/>
        </w:rPr>
        <w:t xml:space="preserve"> documents</w:t>
      </w:r>
      <w:r w:rsidR="00962A85" w:rsidRPr="00A23834">
        <w:rPr>
          <w:rFonts w:ascii="Tahoma" w:eastAsia="標楷體" w:hAnsi="Tahoma" w:cs="Tahoma"/>
          <w:sz w:val="20"/>
          <w:szCs w:val="20"/>
        </w:rPr>
        <w:t xml:space="preserve">, </w:t>
      </w:r>
      <w:r w:rsidR="00180212" w:rsidRPr="00A23834">
        <w:rPr>
          <w:rFonts w:ascii="Tahoma" w:eastAsia="標楷體" w:hAnsi="Tahoma" w:cs="Tahoma"/>
          <w:sz w:val="20"/>
          <w:szCs w:val="20"/>
        </w:rPr>
        <w:t>refus</w:t>
      </w:r>
      <w:r w:rsidRPr="00A23834">
        <w:rPr>
          <w:rFonts w:ascii="Tahoma" w:eastAsia="標楷體" w:hAnsi="Tahoma" w:cs="Tahoma"/>
          <w:sz w:val="20"/>
          <w:szCs w:val="20"/>
        </w:rPr>
        <w:t>es</w:t>
      </w:r>
      <w:r w:rsidR="00962A85" w:rsidRPr="00A23834">
        <w:rPr>
          <w:rFonts w:ascii="Tahoma" w:eastAsia="標楷體" w:hAnsi="Tahoma" w:cs="Tahoma"/>
          <w:sz w:val="20"/>
          <w:szCs w:val="20"/>
        </w:rPr>
        <w:t xml:space="preserve"> to provide other </w:t>
      </w:r>
      <w:r w:rsidR="00962A85" w:rsidRPr="00A23834">
        <w:rPr>
          <w:rFonts w:ascii="Tahoma" w:eastAsia="標楷體" w:hAnsi="Tahoma" w:cs="Tahoma"/>
          <w:sz w:val="20"/>
          <w:szCs w:val="20"/>
          <w:lang w:eastAsia="zh-HK"/>
        </w:rPr>
        <w:t>documents</w:t>
      </w:r>
      <w:r w:rsidR="00962A85" w:rsidRPr="00A23834">
        <w:rPr>
          <w:rFonts w:ascii="Tahoma" w:eastAsia="標楷體" w:hAnsi="Tahoma" w:cs="Tahoma"/>
          <w:sz w:val="20"/>
          <w:szCs w:val="20"/>
        </w:rPr>
        <w:t>, or the documents</w:t>
      </w:r>
      <w:r w:rsidR="00180212" w:rsidRPr="00A23834">
        <w:rPr>
          <w:rFonts w:ascii="Tahoma" w:eastAsia="標楷體" w:hAnsi="Tahoma" w:cs="Tahoma"/>
          <w:sz w:val="20"/>
          <w:szCs w:val="20"/>
        </w:rPr>
        <w:t xml:space="preserve"> provided </w:t>
      </w:r>
      <w:r w:rsidRPr="00A23834">
        <w:rPr>
          <w:rFonts w:ascii="Tahoma" w:eastAsia="標楷體" w:hAnsi="Tahoma" w:cs="Tahoma"/>
          <w:sz w:val="20"/>
          <w:szCs w:val="20"/>
        </w:rPr>
        <w:t>cannot</w:t>
      </w:r>
      <w:r w:rsidR="00962A85" w:rsidRPr="00A23834">
        <w:rPr>
          <w:rFonts w:ascii="Tahoma" w:eastAsia="標楷體" w:hAnsi="Tahoma" w:cs="Tahoma"/>
          <w:sz w:val="20"/>
          <w:szCs w:val="20"/>
        </w:rPr>
        <w:t xml:space="preserve"> be authenticated</w:t>
      </w:r>
      <w:r w:rsidR="00180212" w:rsidRPr="00A23834">
        <w:rPr>
          <w:rFonts w:ascii="Tahoma" w:eastAsia="標楷體" w:hAnsi="Tahoma" w:cs="Tahoma"/>
          <w:sz w:val="20"/>
          <w:szCs w:val="20"/>
        </w:rPr>
        <w:t>.</w:t>
      </w:r>
    </w:p>
    <w:p w14:paraId="387C57B4" w14:textId="77777777" w:rsidR="008510AD" w:rsidRPr="00A23834" w:rsidRDefault="00F537DC"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The customer p</w:t>
      </w:r>
      <w:r w:rsidR="00180212" w:rsidRPr="00A23834">
        <w:rPr>
          <w:rFonts w:ascii="Tahoma" w:eastAsia="標楷體" w:hAnsi="Tahoma" w:cs="Tahoma"/>
          <w:sz w:val="20"/>
          <w:szCs w:val="20"/>
        </w:rPr>
        <w:t>rocrastinat</w:t>
      </w:r>
      <w:r w:rsidRPr="00A23834">
        <w:rPr>
          <w:rFonts w:ascii="Tahoma" w:eastAsia="標楷體" w:hAnsi="Tahoma" w:cs="Tahoma"/>
          <w:sz w:val="20"/>
          <w:szCs w:val="20"/>
        </w:rPr>
        <w:t>es</w:t>
      </w:r>
      <w:r w:rsidR="00962A85" w:rsidRPr="00A23834">
        <w:rPr>
          <w:rFonts w:ascii="Tahoma" w:eastAsia="標楷體" w:hAnsi="Tahoma" w:cs="Tahoma"/>
          <w:sz w:val="20"/>
          <w:szCs w:val="20"/>
        </w:rPr>
        <w:t xml:space="preserve"> in providing identification documents in an unusual manner</w:t>
      </w:r>
      <w:r w:rsidR="00180212" w:rsidRPr="00A23834">
        <w:rPr>
          <w:rFonts w:ascii="Tahoma" w:eastAsia="標楷體" w:hAnsi="Tahoma" w:cs="Tahoma"/>
          <w:sz w:val="20"/>
          <w:szCs w:val="20"/>
        </w:rPr>
        <w:t>.</w:t>
      </w:r>
    </w:p>
    <w:p w14:paraId="153D597A" w14:textId="77777777" w:rsidR="008510AD" w:rsidRPr="00A23834" w:rsidRDefault="00F537DC"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The bank </w:t>
      </w:r>
      <w:r w:rsidRPr="00A23834">
        <w:rPr>
          <w:rFonts w:ascii="Tahoma" w:eastAsia="標楷體" w:hAnsi="Tahoma" w:cs="Tahoma"/>
          <w:sz w:val="20"/>
          <w:szCs w:val="20"/>
          <w:lang w:eastAsia="zh-HK"/>
        </w:rPr>
        <w:t>cannot</w:t>
      </w:r>
      <w:r w:rsidR="00962A85" w:rsidRPr="00A23834">
        <w:rPr>
          <w:rFonts w:ascii="Tahoma" w:eastAsia="標楷體" w:hAnsi="Tahoma" w:cs="Tahoma"/>
          <w:sz w:val="20"/>
          <w:szCs w:val="20"/>
        </w:rPr>
        <w:t xml:space="preserve"> verify the beneficiary owner of the account.</w:t>
      </w:r>
    </w:p>
    <w:p w14:paraId="6D9E62ED" w14:textId="77777777" w:rsidR="008510AD" w:rsidRPr="00A23834" w:rsidRDefault="00F537DC"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A</w:t>
      </w:r>
      <w:r w:rsidR="008510AD" w:rsidRPr="00A23834">
        <w:rPr>
          <w:rFonts w:ascii="Tahoma" w:eastAsia="標楷體" w:hAnsi="Tahoma" w:cs="Tahoma"/>
          <w:sz w:val="20"/>
          <w:szCs w:val="20"/>
        </w:rPr>
        <w:t xml:space="preserve"> legal entity or an organization that does not have</w:t>
      </w:r>
      <w:r w:rsidR="00F01581" w:rsidRPr="00A23834">
        <w:rPr>
          <w:rFonts w:ascii="Tahoma" w:eastAsia="標楷體" w:hAnsi="Tahoma" w:cs="Tahoma"/>
          <w:sz w:val="20"/>
          <w:szCs w:val="20"/>
        </w:rPr>
        <w:t xml:space="preserve"> a</w:t>
      </w:r>
      <w:r w:rsidR="008510AD" w:rsidRPr="00A23834">
        <w:rPr>
          <w:rFonts w:ascii="Tahoma" w:eastAsia="標楷體" w:hAnsi="Tahoma" w:cs="Tahoma"/>
          <w:sz w:val="20"/>
          <w:szCs w:val="20"/>
        </w:rPr>
        <w:t xml:space="preserve"> business location.</w:t>
      </w:r>
      <w:r w:rsidR="00962A85" w:rsidRPr="00A23834">
        <w:rPr>
          <w:rFonts w:ascii="Tahoma" w:eastAsia="標楷體" w:hAnsi="Tahoma" w:cs="Tahoma"/>
          <w:sz w:val="20"/>
          <w:szCs w:val="20"/>
        </w:rPr>
        <w:t xml:space="preserve"> </w:t>
      </w:r>
    </w:p>
    <w:p w14:paraId="7046147B" w14:textId="77777777" w:rsidR="009E10A0" w:rsidRPr="00A23834" w:rsidRDefault="009E10A0"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lastRenderedPageBreak/>
        <w:t>T</w:t>
      </w:r>
      <w:r w:rsidRPr="00A23834">
        <w:rPr>
          <w:rFonts w:ascii="Tahoma" w:eastAsia="標楷體" w:hAnsi="Tahoma" w:cs="Tahoma" w:hint="eastAsia"/>
          <w:sz w:val="20"/>
          <w:szCs w:val="20"/>
        </w:rPr>
        <w:t>he legal entity issued the bearer shares.</w:t>
      </w:r>
    </w:p>
    <w:p w14:paraId="4B8CB296" w14:textId="77777777" w:rsidR="003A415A" w:rsidRPr="00A23834" w:rsidRDefault="00F2724D"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Other unusual circumstances exist and the customer fails to provide a reasonable explanation</w:t>
      </w:r>
      <w:r w:rsidR="00F537DC" w:rsidRPr="00A23834">
        <w:rPr>
          <w:rFonts w:ascii="Tahoma" w:eastAsia="標楷體" w:hAnsi="Tahoma" w:cs="Tahoma"/>
          <w:sz w:val="20"/>
          <w:szCs w:val="20"/>
        </w:rPr>
        <w:t>.</w:t>
      </w:r>
    </w:p>
    <w:p w14:paraId="6FAC00BA" w14:textId="77777777" w:rsidR="00F2724D" w:rsidRPr="004853E7" w:rsidRDefault="00F2724D" w:rsidP="00677C16">
      <w:pPr>
        <w:pStyle w:val="ListParagraph"/>
        <w:numPr>
          <w:ilvl w:val="1"/>
          <w:numId w:val="5"/>
        </w:numPr>
        <w:snapToGrid w:val="0"/>
        <w:spacing w:afterLines="50" w:after="179"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The customer is an individual, legal entity or organization sanctioned under the Terrorism Financing Prevention Act of Belgium or Taiwan, or a terrorist or terrorist group identified or investigated by a foreign government </w:t>
      </w:r>
      <w:r w:rsidRPr="004853E7">
        <w:rPr>
          <w:rFonts w:ascii="Tahoma" w:eastAsia="標楷體" w:hAnsi="Tahoma" w:cs="Tahoma"/>
          <w:sz w:val="20"/>
          <w:szCs w:val="20"/>
        </w:rPr>
        <w:t>or an international anti-money laundering organization</w:t>
      </w:r>
      <w:r w:rsidR="00F537DC" w:rsidRPr="004853E7">
        <w:rPr>
          <w:rFonts w:ascii="Tahoma" w:eastAsia="標楷體" w:hAnsi="Tahoma" w:cs="Tahoma"/>
          <w:sz w:val="20"/>
          <w:szCs w:val="20"/>
        </w:rPr>
        <w:t>.</w:t>
      </w:r>
    </w:p>
    <w:p w14:paraId="34A4D06A" w14:textId="566E7D20" w:rsidR="00D353CF" w:rsidRPr="00353C9D" w:rsidRDefault="00D353CF" w:rsidP="00677C16">
      <w:pPr>
        <w:snapToGrid w:val="0"/>
        <w:spacing w:line="240" w:lineRule="exact"/>
        <w:jc w:val="both"/>
        <w:rPr>
          <w:rFonts w:ascii="Tahoma" w:eastAsia="標楷體" w:hAnsi="Tahoma" w:cs="Tahoma"/>
          <w:sz w:val="20"/>
          <w:szCs w:val="20"/>
          <w:lang w:eastAsia="zh-HK"/>
        </w:rPr>
      </w:pPr>
      <w:r w:rsidRPr="004853E7">
        <w:rPr>
          <w:rFonts w:ascii="Tahoma" w:eastAsia="標楷體" w:hAnsi="Tahoma" w:cs="Tahoma"/>
          <w:sz w:val="20"/>
          <w:szCs w:val="20"/>
          <w:lang w:eastAsia="zh-HK"/>
        </w:rPr>
        <w:t>The bank has to refuse to estab</w:t>
      </w:r>
      <w:r w:rsidR="00F2724D" w:rsidRPr="004853E7">
        <w:rPr>
          <w:rFonts w:ascii="Tahoma" w:eastAsia="標楷體" w:hAnsi="Tahoma" w:cs="Tahoma"/>
          <w:sz w:val="20"/>
          <w:szCs w:val="20"/>
          <w:lang w:eastAsia="zh-HK"/>
        </w:rPr>
        <w:t>lish business relationship with</w:t>
      </w:r>
      <w:r w:rsidR="00FD1BE8" w:rsidRPr="004853E7">
        <w:rPr>
          <w:rFonts w:ascii="Tahoma" w:eastAsia="標楷體" w:hAnsi="Tahoma" w:cs="Tahoma"/>
          <w:sz w:val="20"/>
          <w:szCs w:val="20"/>
          <w:lang w:eastAsia="zh-HK"/>
        </w:rPr>
        <w:t xml:space="preserve"> </w:t>
      </w:r>
      <w:r w:rsidR="00F01581" w:rsidRPr="004853E7">
        <w:rPr>
          <w:rFonts w:ascii="Tahoma" w:eastAsia="標楷體" w:hAnsi="Tahoma" w:cs="Tahoma"/>
          <w:sz w:val="20"/>
          <w:szCs w:val="20"/>
          <w:lang w:eastAsia="zh-HK"/>
        </w:rPr>
        <w:t xml:space="preserve">private individuals/ corporate </w:t>
      </w:r>
      <w:r w:rsidR="00531A1A" w:rsidRPr="004853E7">
        <w:rPr>
          <w:rFonts w:ascii="Tahoma" w:eastAsia="標楷體" w:hAnsi="Tahoma" w:cs="Tahoma"/>
          <w:sz w:val="20"/>
          <w:szCs w:val="20"/>
        </w:rPr>
        <w:t xml:space="preserve">or other legal </w:t>
      </w:r>
      <w:r w:rsidR="00F01581" w:rsidRPr="004853E7">
        <w:rPr>
          <w:rFonts w:ascii="Tahoma" w:eastAsia="標楷體" w:hAnsi="Tahoma" w:cs="Tahoma"/>
          <w:sz w:val="20"/>
          <w:szCs w:val="20"/>
          <w:lang w:eastAsia="zh-HK"/>
        </w:rPr>
        <w:t>entities</w:t>
      </w:r>
      <w:r w:rsidR="00FC570D" w:rsidRPr="004853E7">
        <w:rPr>
          <w:rFonts w:ascii="Tahoma" w:eastAsia="標楷體" w:hAnsi="Tahoma" w:cs="Tahoma"/>
          <w:sz w:val="20"/>
          <w:szCs w:val="20"/>
          <w:lang w:eastAsia="zh-HK"/>
        </w:rPr>
        <w:t xml:space="preserve"> </w:t>
      </w:r>
      <w:r w:rsidR="00F01581" w:rsidRPr="004853E7">
        <w:rPr>
          <w:rFonts w:ascii="Tahoma" w:eastAsia="標楷體" w:hAnsi="Tahoma" w:cs="Tahoma"/>
          <w:sz w:val="20"/>
          <w:szCs w:val="20"/>
          <w:lang w:eastAsia="zh-HK"/>
        </w:rPr>
        <w:t xml:space="preserve">falling under conditions 1 to </w:t>
      </w:r>
      <w:r w:rsidR="001C001D" w:rsidRPr="004853E7">
        <w:rPr>
          <w:rFonts w:ascii="Tahoma" w:eastAsia="標楷體" w:hAnsi="Tahoma" w:cs="Tahoma"/>
          <w:sz w:val="20"/>
          <w:szCs w:val="20"/>
          <w:lang w:eastAsia="zh-HK"/>
        </w:rPr>
        <w:t>1</w:t>
      </w:r>
      <w:r w:rsidR="00710359" w:rsidRPr="004853E7">
        <w:rPr>
          <w:rFonts w:ascii="Tahoma" w:eastAsia="標楷體" w:hAnsi="Tahoma" w:cs="Tahoma" w:hint="eastAsia"/>
          <w:sz w:val="20"/>
          <w:szCs w:val="20"/>
          <w:lang w:eastAsia="zh-HK"/>
        </w:rPr>
        <w:t>9</w:t>
      </w:r>
      <w:r w:rsidR="00F01581" w:rsidRPr="004853E7">
        <w:rPr>
          <w:rFonts w:ascii="Tahoma" w:eastAsia="標楷體" w:hAnsi="Tahoma" w:cs="Tahoma"/>
          <w:sz w:val="20"/>
          <w:szCs w:val="20"/>
          <w:lang w:eastAsia="zh-HK"/>
        </w:rPr>
        <w:t>.</w:t>
      </w:r>
      <w:r w:rsidR="00FD1BE8" w:rsidRPr="00353C9D">
        <w:rPr>
          <w:rFonts w:ascii="Tahoma" w:eastAsia="標楷體" w:hAnsi="Tahoma" w:cs="Tahoma"/>
          <w:sz w:val="20"/>
          <w:szCs w:val="20"/>
          <w:lang w:eastAsia="zh-HK"/>
        </w:rPr>
        <w:t xml:space="preserve"> </w:t>
      </w:r>
      <w:r w:rsidR="00B75CA5" w:rsidRPr="00353C9D">
        <w:rPr>
          <w:rFonts w:ascii="Tahoma" w:eastAsia="標楷體" w:hAnsi="Tahoma" w:cs="Tahoma" w:hint="eastAsia"/>
          <w:sz w:val="20"/>
          <w:szCs w:val="20"/>
          <w:lang w:eastAsia="zh-HK"/>
        </w:rPr>
        <w:t>Besides,</w:t>
      </w:r>
      <w:r w:rsidR="00FC570D" w:rsidRPr="00353C9D">
        <w:rPr>
          <w:rFonts w:ascii="Tahoma" w:eastAsia="標楷體" w:hAnsi="Tahoma" w:cs="Tahoma"/>
          <w:sz w:val="20"/>
          <w:szCs w:val="20"/>
          <w:lang w:eastAsia="zh-HK"/>
        </w:rPr>
        <w:t xml:space="preserve"> the bank has to </w:t>
      </w:r>
      <w:r w:rsidR="00AB0AE4" w:rsidRPr="00353C9D">
        <w:rPr>
          <w:rFonts w:ascii="Tahoma" w:eastAsia="標楷體" w:hAnsi="Tahoma" w:cs="Tahoma" w:hint="eastAsia"/>
          <w:sz w:val="20"/>
          <w:szCs w:val="20"/>
          <w:lang w:val="en-GB" w:eastAsia="zh-HK"/>
        </w:rPr>
        <w:t>report to CTIF-CFI via the platform goAM</w:t>
      </w:r>
      <w:r w:rsidR="00AB0AE4" w:rsidRPr="00353C9D">
        <w:rPr>
          <w:rFonts w:ascii="Tahoma" w:eastAsia="標楷體" w:hAnsi="Tahoma" w:cs="Tahoma" w:hint="eastAsia"/>
          <w:sz w:val="20"/>
          <w:szCs w:val="20"/>
          <w:lang w:val="en-GB"/>
        </w:rPr>
        <w:t>L</w:t>
      </w:r>
      <w:r w:rsidR="00FC570D" w:rsidRPr="00353C9D">
        <w:rPr>
          <w:rFonts w:ascii="Tahoma" w:eastAsia="標楷體" w:hAnsi="Tahoma" w:cs="Tahoma"/>
          <w:sz w:val="20"/>
          <w:szCs w:val="20"/>
          <w:lang w:eastAsia="zh-HK"/>
        </w:rPr>
        <w:t>.</w:t>
      </w:r>
    </w:p>
    <w:p w14:paraId="31DC3B44" w14:textId="75283D61" w:rsidR="00F252AA" w:rsidRPr="004853E7" w:rsidRDefault="00CF74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bCs/>
          <w:sz w:val="20"/>
          <w:szCs w:val="20"/>
        </w:rPr>
      </w:pPr>
      <w:bookmarkStart w:id="16" w:name="_Toc142480920"/>
      <w:bookmarkStart w:id="17" w:name="_Toc142484949"/>
      <w:r w:rsidRPr="004853E7">
        <w:rPr>
          <w:rFonts w:ascii="Tahoma" w:eastAsia="標楷體" w:hAnsi="Tahoma" w:cs="Tahoma"/>
          <w:bCs/>
          <w:sz w:val="20"/>
          <w:szCs w:val="20"/>
        </w:rPr>
        <w:t>Face to Face</w:t>
      </w:r>
      <w:bookmarkEnd w:id="16"/>
      <w:bookmarkEnd w:id="17"/>
    </w:p>
    <w:p w14:paraId="68DA617D" w14:textId="77777777" w:rsidR="00621829" w:rsidRPr="004853E7" w:rsidRDefault="00621829" w:rsidP="00677C16">
      <w:pPr>
        <w:snapToGrid w:val="0"/>
        <w:spacing w:line="240" w:lineRule="exact"/>
        <w:jc w:val="both"/>
        <w:rPr>
          <w:rFonts w:ascii="Tahoma" w:eastAsia="標楷體" w:hAnsi="Tahoma" w:cs="Tahoma"/>
          <w:sz w:val="20"/>
          <w:szCs w:val="20"/>
        </w:rPr>
      </w:pPr>
    </w:p>
    <w:p w14:paraId="1CDAE4AF" w14:textId="77777777" w:rsidR="00F252AA" w:rsidRPr="00A23834" w:rsidRDefault="00D6430B" w:rsidP="00677C16">
      <w:pPr>
        <w:snapToGrid w:val="0"/>
        <w:spacing w:line="240" w:lineRule="exact"/>
        <w:jc w:val="both"/>
        <w:rPr>
          <w:rFonts w:ascii="Tahoma" w:eastAsia="標楷體" w:hAnsi="Tahoma" w:cs="Tahoma"/>
          <w:sz w:val="20"/>
          <w:szCs w:val="20"/>
        </w:rPr>
      </w:pPr>
      <w:r w:rsidRPr="004853E7">
        <w:rPr>
          <w:rFonts w:ascii="Tahoma" w:eastAsia="標楷體" w:hAnsi="Tahoma" w:cs="Tahoma"/>
          <w:sz w:val="20"/>
          <w:szCs w:val="20"/>
        </w:rPr>
        <w:t xml:space="preserve">The bank may refuse applications without “face to face” presence of the applicants. Here, the “face to face” presence of the applicants means that the applicants </w:t>
      </w:r>
      <w:r w:rsidRPr="00A23834">
        <w:rPr>
          <w:rFonts w:ascii="Tahoma" w:eastAsia="標楷體" w:hAnsi="Tahoma" w:cs="Tahoma"/>
          <w:sz w:val="20"/>
          <w:szCs w:val="20"/>
        </w:rPr>
        <w:t xml:space="preserve">are personally present in the bank or that the bank’s employee goes to applicants’ place and helps them to finish </w:t>
      </w:r>
      <w:r w:rsidR="00020CEE" w:rsidRPr="00A23834">
        <w:rPr>
          <w:rFonts w:ascii="Tahoma" w:eastAsia="標楷體" w:hAnsi="Tahoma" w:cs="Tahoma"/>
          <w:sz w:val="20"/>
          <w:szCs w:val="20"/>
        </w:rPr>
        <w:t xml:space="preserve">the </w:t>
      </w:r>
      <w:r w:rsidRPr="00A23834">
        <w:rPr>
          <w:rFonts w:ascii="Tahoma" w:eastAsia="標楷體" w:hAnsi="Tahoma" w:cs="Tahoma"/>
          <w:sz w:val="20"/>
          <w:szCs w:val="20"/>
        </w:rPr>
        <w:t>application.</w:t>
      </w:r>
    </w:p>
    <w:p w14:paraId="1483D31C" w14:textId="77777777" w:rsidR="00621829" w:rsidRPr="00A23834" w:rsidRDefault="00621829" w:rsidP="00677C16">
      <w:pPr>
        <w:snapToGrid w:val="0"/>
        <w:spacing w:line="240" w:lineRule="exact"/>
        <w:jc w:val="both"/>
        <w:rPr>
          <w:rFonts w:ascii="Tahoma" w:eastAsia="標楷體" w:hAnsi="Tahoma" w:cs="Tahoma"/>
          <w:sz w:val="20"/>
          <w:szCs w:val="20"/>
        </w:rPr>
      </w:pPr>
    </w:p>
    <w:p w14:paraId="2046A23B" w14:textId="38ED2516" w:rsidR="00D6430B" w:rsidRPr="00A23834" w:rsidRDefault="00E25E8A"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bookmarkStart w:id="18" w:name="_Toc142480921"/>
      <w:bookmarkStart w:id="19" w:name="_Toc142484950"/>
      <w:r w:rsidRPr="00A23834">
        <w:rPr>
          <w:rFonts w:ascii="Tahoma" w:eastAsia="標楷體" w:hAnsi="Tahoma" w:cs="Tahoma" w:hint="eastAsia"/>
          <w:sz w:val="20"/>
          <w:szCs w:val="20"/>
        </w:rPr>
        <w:t>Th</w:t>
      </w:r>
      <w:r w:rsidRPr="00A23834">
        <w:rPr>
          <w:rFonts w:ascii="Tahoma" w:eastAsia="標楷體" w:hAnsi="Tahoma" w:cs="Tahoma"/>
          <w:sz w:val="20"/>
          <w:szCs w:val="20"/>
        </w:rPr>
        <w:t>e</w:t>
      </w:r>
      <w:r w:rsidR="00482DAF" w:rsidRPr="00A23834">
        <w:rPr>
          <w:rFonts w:ascii="Tahoma" w:eastAsia="標楷體" w:hAnsi="Tahoma" w:cs="Tahoma"/>
          <w:sz w:val="20"/>
          <w:szCs w:val="20"/>
        </w:rPr>
        <w:t xml:space="preserve"> services that UTB does not provide</w:t>
      </w:r>
      <w:bookmarkEnd w:id="18"/>
      <w:bookmarkEnd w:id="19"/>
    </w:p>
    <w:p w14:paraId="50CA68BB" w14:textId="77777777" w:rsidR="00621829" w:rsidRPr="00A23834" w:rsidRDefault="00621829" w:rsidP="00677C16">
      <w:pPr>
        <w:snapToGrid w:val="0"/>
        <w:spacing w:line="240" w:lineRule="exact"/>
        <w:jc w:val="both"/>
        <w:rPr>
          <w:rFonts w:ascii="Tahoma" w:eastAsia="標楷體" w:hAnsi="Tahoma" w:cs="Tahoma"/>
          <w:sz w:val="20"/>
          <w:szCs w:val="20"/>
        </w:rPr>
      </w:pPr>
    </w:p>
    <w:p w14:paraId="0020A9BA" w14:textId="77777777" w:rsidR="00A0687D" w:rsidRPr="00A23834" w:rsidRDefault="00D6430B" w:rsidP="00677C16">
      <w:pPr>
        <w:snapToGrid w:val="0"/>
        <w:spacing w:line="240" w:lineRule="exact"/>
        <w:jc w:val="both"/>
        <w:rPr>
          <w:rFonts w:ascii="Tahoma" w:eastAsia="標楷體" w:hAnsi="Tahoma" w:cs="Tahoma"/>
          <w:sz w:val="20"/>
          <w:szCs w:val="20"/>
        </w:rPr>
      </w:pPr>
      <w:r w:rsidRPr="00A23834">
        <w:rPr>
          <w:rFonts w:ascii="Tahoma" w:eastAsia="標楷體" w:hAnsi="Tahoma" w:cs="Tahoma"/>
          <w:sz w:val="20"/>
          <w:szCs w:val="20"/>
        </w:rPr>
        <w:t>The bank will not provide</w:t>
      </w:r>
      <w:r w:rsidR="00020CEE" w:rsidRPr="00A23834">
        <w:rPr>
          <w:rFonts w:ascii="Tahoma" w:eastAsia="標楷體" w:hAnsi="Tahoma" w:cs="Tahoma"/>
          <w:sz w:val="20"/>
          <w:szCs w:val="20"/>
        </w:rPr>
        <w:t xml:space="preserve"> the</w:t>
      </w:r>
      <w:r w:rsidR="00FD1BE8" w:rsidRPr="00A23834">
        <w:rPr>
          <w:rFonts w:ascii="Tahoma" w:eastAsia="標楷體" w:hAnsi="Tahoma" w:cs="Tahoma"/>
          <w:sz w:val="20"/>
          <w:szCs w:val="20"/>
        </w:rPr>
        <w:t xml:space="preserve"> </w:t>
      </w:r>
      <w:r w:rsidR="008E2A49" w:rsidRPr="00A23834">
        <w:rPr>
          <w:rFonts w:ascii="Tahoma" w:eastAsia="標楷體" w:hAnsi="Tahoma" w:cs="Tahoma"/>
          <w:sz w:val="20"/>
          <w:szCs w:val="20"/>
        </w:rPr>
        <w:t>f</w:t>
      </w:r>
      <w:r w:rsidRPr="00A23834">
        <w:rPr>
          <w:rFonts w:ascii="Tahoma" w:eastAsia="標楷體" w:hAnsi="Tahoma" w:cs="Tahoma"/>
          <w:sz w:val="20"/>
          <w:szCs w:val="20"/>
        </w:rPr>
        <w:t>ollowing services:</w:t>
      </w:r>
    </w:p>
    <w:p w14:paraId="001BE53E" w14:textId="77777777" w:rsidR="00D6430B" w:rsidRPr="00A23834" w:rsidRDefault="006C47E3"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A</w:t>
      </w:r>
      <w:r w:rsidR="00D6430B" w:rsidRPr="00A23834">
        <w:rPr>
          <w:rFonts w:ascii="Tahoma" w:eastAsia="標楷體" w:hAnsi="Tahoma" w:cs="Tahoma"/>
          <w:sz w:val="20"/>
          <w:szCs w:val="20"/>
        </w:rPr>
        <w:t>ny service for occasional customer or customer ask</w:t>
      </w:r>
      <w:r w:rsidRPr="00A23834">
        <w:rPr>
          <w:rFonts w:ascii="Tahoma" w:eastAsia="標楷體" w:hAnsi="Tahoma" w:cs="Tahoma"/>
          <w:sz w:val="20"/>
          <w:szCs w:val="20"/>
        </w:rPr>
        <w:t>ing</w:t>
      </w:r>
      <w:r w:rsidR="00D6430B" w:rsidRPr="00A23834">
        <w:rPr>
          <w:rFonts w:ascii="Tahoma" w:eastAsia="標楷體" w:hAnsi="Tahoma" w:cs="Tahoma"/>
          <w:sz w:val="20"/>
          <w:szCs w:val="20"/>
        </w:rPr>
        <w:t xml:space="preserve"> for occasional transaction.</w:t>
      </w:r>
    </w:p>
    <w:p w14:paraId="4936367E" w14:textId="77777777" w:rsidR="00D6430B" w:rsidRPr="00A23834" w:rsidRDefault="00894D56"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Cash t</w:t>
      </w:r>
      <w:r w:rsidR="00D6430B" w:rsidRPr="00A23834">
        <w:rPr>
          <w:rFonts w:ascii="Tahoma" w:eastAsia="標楷體" w:hAnsi="Tahoma" w:cs="Tahoma"/>
          <w:sz w:val="20"/>
          <w:szCs w:val="20"/>
        </w:rPr>
        <w:t>ransaction.</w:t>
      </w:r>
    </w:p>
    <w:p w14:paraId="3FD5661D" w14:textId="77777777" w:rsidR="00D6430B" w:rsidRPr="00A23834" w:rsidRDefault="00D6430B"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Transaction related</w:t>
      </w:r>
      <w:r w:rsidR="006C47E3" w:rsidRPr="00A23834">
        <w:rPr>
          <w:rFonts w:ascii="Tahoma" w:eastAsia="標楷體" w:hAnsi="Tahoma" w:cs="Tahoma"/>
          <w:sz w:val="20"/>
          <w:szCs w:val="20"/>
        </w:rPr>
        <w:t xml:space="preserve"> </w:t>
      </w:r>
      <w:r w:rsidR="00020CEE" w:rsidRPr="00A23834">
        <w:rPr>
          <w:rFonts w:ascii="Tahoma" w:eastAsia="標楷體" w:hAnsi="Tahoma" w:cs="Tahoma"/>
          <w:sz w:val="20"/>
          <w:szCs w:val="20"/>
        </w:rPr>
        <w:t>to</w:t>
      </w:r>
      <w:r w:rsidR="00FD1BE8" w:rsidRPr="00A23834">
        <w:rPr>
          <w:rFonts w:ascii="Tahoma" w:eastAsia="標楷體" w:hAnsi="Tahoma" w:cs="Tahoma"/>
          <w:sz w:val="20"/>
          <w:szCs w:val="20"/>
        </w:rPr>
        <w:t xml:space="preserve"> </w:t>
      </w:r>
      <w:r w:rsidRPr="00A23834">
        <w:rPr>
          <w:rFonts w:ascii="Tahoma" w:eastAsia="標楷體" w:hAnsi="Tahoma" w:cs="Tahoma"/>
          <w:sz w:val="20"/>
          <w:szCs w:val="20"/>
        </w:rPr>
        <w:t>insurance policy</w:t>
      </w:r>
      <w:r w:rsidR="009007BE" w:rsidRPr="00A23834">
        <w:rPr>
          <w:rFonts w:ascii="Tahoma" w:eastAsia="標楷體" w:hAnsi="Tahoma" w:cs="Tahoma"/>
          <w:sz w:val="20"/>
          <w:szCs w:val="20"/>
        </w:rPr>
        <w:t xml:space="preserve"> or pension, superannuation or similar scheme</w:t>
      </w:r>
      <w:r w:rsidRPr="00A23834">
        <w:rPr>
          <w:rFonts w:ascii="Tahoma" w:eastAsia="標楷體" w:hAnsi="Tahoma" w:cs="Tahoma"/>
          <w:sz w:val="20"/>
          <w:szCs w:val="20"/>
        </w:rPr>
        <w:t>.</w:t>
      </w:r>
    </w:p>
    <w:p w14:paraId="78BB3F66" w14:textId="77777777" w:rsidR="00D6430B" w:rsidRPr="00A23834" w:rsidRDefault="00D6430B"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Numbered Account</w:t>
      </w:r>
      <w:r w:rsidR="009F5501" w:rsidRPr="00A23834">
        <w:rPr>
          <w:rFonts w:ascii="Tahoma" w:eastAsia="標楷體" w:hAnsi="Tahoma" w:cs="Tahoma"/>
          <w:sz w:val="20"/>
          <w:szCs w:val="20"/>
        </w:rPr>
        <w:t>,</w:t>
      </w:r>
      <w:r w:rsidR="00CB4092" w:rsidRPr="00A23834">
        <w:rPr>
          <w:rFonts w:ascii="Tahoma" w:eastAsia="標楷體" w:hAnsi="Tahoma" w:cs="Tahoma"/>
          <w:sz w:val="20"/>
          <w:szCs w:val="20"/>
        </w:rPr>
        <w:t xml:space="preserve"> Pooled Account</w:t>
      </w:r>
      <w:r w:rsidR="009F5501" w:rsidRPr="00A23834">
        <w:rPr>
          <w:rFonts w:ascii="Tahoma" w:eastAsia="標楷體" w:hAnsi="Tahoma" w:cs="Tahoma"/>
          <w:sz w:val="20"/>
          <w:szCs w:val="20"/>
        </w:rPr>
        <w:t>,</w:t>
      </w:r>
      <w:r w:rsidRPr="00A23834">
        <w:rPr>
          <w:rFonts w:ascii="Tahoma" w:eastAsia="標楷體" w:hAnsi="Tahoma" w:cs="Tahoma"/>
          <w:sz w:val="20"/>
          <w:szCs w:val="20"/>
        </w:rPr>
        <w:t xml:space="preserve"> </w:t>
      </w:r>
      <w:r w:rsidR="008E2A49" w:rsidRPr="00A23834">
        <w:rPr>
          <w:rFonts w:ascii="Tahoma" w:eastAsia="標楷體" w:hAnsi="Tahoma" w:cs="Tahoma"/>
          <w:sz w:val="20"/>
          <w:szCs w:val="20"/>
        </w:rPr>
        <w:t xml:space="preserve">Assets management service or </w:t>
      </w:r>
      <w:r w:rsidRPr="00A23834">
        <w:rPr>
          <w:rFonts w:ascii="Tahoma" w:eastAsia="標楷體" w:hAnsi="Tahoma" w:cs="Tahoma"/>
          <w:sz w:val="20"/>
          <w:szCs w:val="20"/>
        </w:rPr>
        <w:t>Private banking</w:t>
      </w:r>
      <w:r w:rsidR="008E2A49" w:rsidRPr="00A23834">
        <w:rPr>
          <w:rFonts w:ascii="Tahoma" w:eastAsia="標楷體" w:hAnsi="Tahoma" w:cs="Tahoma"/>
          <w:sz w:val="20"/>
          <w:szCs w:val="20"/>
        </w:rPr>
        <w:t xml:space="preserve"> service.</w:t>
      </w:r>
    </w:p>
    <w:p w14:paraId="427C163A" w14:textId="77777777" w:rsidR="00621829" w:rsidRPr="00A23834" w:rsidRDefault="00621829" w:rsidP="00677C16">
      <w:pPr>
        <w:pStyle w:val="ListParagraph"/>
        <w:snapToGrid w:val="0"/>
        <w:spacing w:line="240" w:lineRule="exact"/>
        <w:ind w:leftChars="0" w:left="482"/>
        <w:jc w:val="both"/>
        <w:rPr>
          <w:rFonts w:ascii="Tahoma" w:eastAsia="標楷體" w:hAnsi="Tahoma" w:cs="Tahoma"/>
          <w:sz w:val="20"/>
          <w:szCs w:val="20"/>
        </w:rPr>
      </w:pPr>
    </w:p>
    <w:p w14:paraId="2D6D97BF" w14:textId="48D82A90" w:rsidR="008E2A49" w:rsidRPr="00A23834" w:rsidRDefault="00C723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bookmarkStart w:id="20" w:name="_Toc142480922"/>
      <w:bookmarkStart w:id="21" w:name="_Toc142484951"/>
      <w:r>
        <w:rPr>
          <w:rFonts w:ascii="Tahoma" w:eastAsia="標楷體" w:hAnsi="Tahoma" w:cs="Tahoma"/>
          <w:sz w:val="20"/>
          <w:szCs w:val="20"/>
        </w:rPr>
        <w:t>Customer identity verification procedure finished first</w:t>
      </w:r>
      <w:bookmarkEnd w:id="20"/>
      <w:bookmarkEnd w:id="21"/>
    </w:p>
    <w:p w14:paraId="60634AB5" w14:textId="77777777" w:rsidR="00621829" w:rsidRPr="00A23834" w:rsidRDefault="00621829" w:rsidP="00677C16">
      <w:pPr>
        <w:snapToGrid w:val="0"/>
        <w:spacing w:line="240" w:lineRule="exact"/>
        <w:jc w:val="both"/>
        <w:rPr>
          <w:rFonts w:ascii="Tahoma" w:eastAsia="標楷體" w:hAnsi="Tahoma" w:cs="Tahoma"/>
          <w:sz w:val="20"/>
          <w:szCs w:val="20"/>
        </w:rPr>
      </w:pPr>
    </w:p>
    <w:p w14:paraId="5C35F72A" w14:textId="77777777" w:rsidR="00D6430B" w:rsidRPr="00A23834" w:rsidRDefault="008E2A49" w:rsidP="00677C16">
      <w:pPr>
        <w:snapToGrid w:val="0"/>
        <w:spacing w:line="240" w:lineRule="exact"/>
        <w:jc w:val="both"/>
        <w:rPr>
          <w:rFonts w:ascii="Tahoma" w:eastAsia="標楷體" w:hAnsi="Tahoma" w:cs="Tahoma"/>
          <w:sz w:val="20"/>
          <w:szCs w:val="20"/>
        </w:rPr>
      </w:pPr>
      <w:r w:rsidRPr="00A23834">
        <w:rPr>
          <w:rFonts w:ascii="Tahoma" w:eastAsia="標楷體" w:hAnsi="Tahoma" w:cs="Tahoma"/>
          <w:sz w:val="20"/>
          <w:szCs w:val="20"/>
        </w:rPr>
        <w:t xml:space="preserve">Before </w:t>
      </w:r>
      <w:r w:rsidRPr="00A23834">
        <w:rPr>
          <w:rFonts w:ascii="Tahoma" w:eastAsia="標楷體" w:hAnsi="Tahoma" w:cs="Tahoma"/>
          <w:sz w:val="20"/>
          <w:szCs w:val="20"/>
          <w:lang w:eastAsia="zh-HK"/>
        </w:rPr>
        <w:t xml:space="preserve">completing </w:t>
      </w:r>
      <w:r w:rsidRPr="00A23834">
        <w:rPr>
          <w:rFonts w:ascii="Tahoma" w:eastAsia="標楷體" w:hAnsi="Tahoma" w:cs="Tahoma"/>
          <w:sz w:val="20"/>
          <w:szCs w:val="20"/>
        </w:rPr>
        <w:t xml:space="preserve">customer identity verification procedure, the bank shall not </w:t>
      </w:r>
      <w:r w:rsidR="008B76ED" w:rsidRPr="00A23834">
        <w:rPr>
          <w:rFonts w:ascii="Tahoma" w:eastAsia="標楷體" w:hAnsi="Tahoma" w:cs="Tahoma"/>
          <w:sz w:val="20"/>
          <w:szCs w:val="20"/>
        </w:rPr>
        <w:t xml:space="preserve">establish a </w:t>
      </w:r>
      <w:r w:rsidRPr="00A23834">
        <w:rPr>
          <w:rFonts w:ascii="Tahoma" w:eastAsia="標楷體" w:hAnsi="Tahoma" w:cs="Tahoma"/>
          <w:sz w:val="20"/>
          <w:szCs w:val="20"/>
        </w:rPr>
        <w:t>business relationship with the applicant or provide any account numbers to the applicant.</w:t>
      </w:r>
    </w:p>
    <w:p w14:paraId="1D57F84D" w14:textId="77777777" w:rsidR="00621829" w:rsidRPr="00A23834" w:rsidRDefault="00621829" w:rsidP="00677C16">
      <w:pPr>
        <w:snapToGrid w:val="0"/>
        <w:spacing w:line="240" w:lineRule="exact"/>
        <w:jc w:val="both"/>
        <w:rPr>
          <w:rFonts w:ascii="Tahoma" w:eastAsia="標楷體" w:hAnsi="Tahoma" w:cs="Tahoma"/>
          <w:sz w:val="20"/>
          <w:szCs w:val="20"/>
        </w:rPr>
      </w:pPr>
    </w:p>
    <w:p w14:paraId="52DD66FB" w14:textId="07E39DA0" w:rsidR="00D6430B" w:rsidRPr="00A23834" w:rsidRDefault="00CF74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bookmarkStart w:id="22" w:name="_Toc142480923"/>
      <w:bookmarkStart w:id="23" w:name="_Toc142484952"/>
      <w:r>
        <w:rPr>
          <w:rFonts w:ascii="Tahoma" w:eastAsia="標楷體" w:hAnsi="Tahoma" w:cs="Tahoma"/>
          <w:sz w:val="20"/>
          <w:szCs w:val="20"/>
        </w:rPr>
        <w:t>Third-party services</w:t>
      </w:r>
      <w:bookmarkEnd w:id="22"/>
      <w:bookmarkEnd w:id="23"/>
    </w:p>
    <w:p w14:paraId="12C49031" w14:textId="77777777" w:rsidR="00621829" w:rsidRPr="00A23834" w:rsidRDefault="00621829" w:rsidP="00677C16">
      <w:pPr>
        <w:snapToGrid w:val="0"/>
        <w:spacing w:line="240" w:lineRule="exact"/>
        <w:jc w:val="both"/>
        <w:rPr>
          <w:rFonts w:ascii="Tahoma" w:eastAsia="標楷體" w:hAnsi="Tahoma" w:cs="Tahoma"/>
          <w:sz w:val="20"/>
          <w:szCs w:val="20"/>
        </w:rPr>
      </w:pPr>
    </w:p>
    <w:p w14:paraId="19DC5596" w14:textId="44963DFE" w:rsidR="00D6430B" w:rsidRPr="00A23834" w:rsidRDefault="004A20E6" w:rsidP="00677C16">
      <w:pPr>
        <w:snapToGrid w:val="0"/>
        <w:spacing w:line="240" w:lineRule="exact"/>
        <w:jc w:val="both"/>
        <w:rPr>
          <w:rFonts w:ascii="Tahoma" w:eastAsia="標楷體" w:hAnsi="Tahoma" w:cs="Tahoma"/>
          <w:sz w:val="20"/>
          <w:szCs w:val="20"/>
        </w:rPr>
      </w:pPr>
      <w:r w:rsidRPr="00A23834">
        <w:rPr>
          <w:rFonts w:ascii="Tahoma" w:eastAsia="標楷體" w:hAnsi="Tahoma" w:cs="Tahoma"/>
          <w:sz w:val="20"/>
          <w:szCs w:val="20"/>
        </w:rPr>
        <w:t>The bank won’t use the service of third</w:t>
      </w:r>
      <w:r w:rsidR="00CF74EE">
        <w:rPr>
          <w:rFonts w:ascii="Tahoma" w:eastAsia="標楷體" w:hAnsi="Tahoma" w:cs="Tahoma"/>
          <w:sz w:val="20"/>
          <w:szCs w:val="20"/>
        </w:rPr>
        <w:t>-</w:t>
      </w:r>
      <w:r w:rsidRPr="00A23834">
        <w:rPr>
          <w:rFonts w:ascii="Tahoma" w:eastAsia="標楷體" w:hAnsi="Tahoma" w:cs="Tahoma"/>
          <w:sz w:val="20"/>
          <w:szCs w:val="20"/>
        </w:rPr>
        <w:t>party business introducers</w:t>
      </w:r>
      <w:r w:rsidR="00280F8F" w:rsidRPr="00A23834">
        <w:rPr>
          <w:rFonts w:ascii="Tahoma" w:eastAsia="標楷體" w:hAnsi="Tahoma" w:cs="Tahoma"/>
          <w:sz w:val="20"/>
          <w:szCs w:val="20"/>
        </w:rPr>
        <w:t>, such as services from non-exclusive insurance intermediaries, intermediaries in banking and investment services or other financial institutions whether or not belonging to its group, to fulfill its obligations of identifying or verifying the identity of customers,</w:t>
      </w:r>
      <w:r w:rsidR="00854074" w:rsidRPr="00A23834">
        <w:rPr>
          <w:rFonts w:ascii="Tahoma" w:eastAsia="標楷體" w:hAnsi="Tahoma" w:cs="Tahoma"/>
          <w:sz w:val="20"/>
          <w:szCs w:val="20"/>
        </w:rPr>
        <w:t xml:space="preserve"> their proxy and</w:t>
      </w:r>
      <w:r w:rsidR="00280F8F" w:rsidRPr="00A23834">
        <w:rPr>
          <w:rFonts w:ascii="Tahoma" w:eastAsia="標楷體" w:hAnsi="Tahoma" w:cs="Tahoma"/>
          <w:sz w:val="20"/>
          <w:szCs w:val="20"/>
        </w:rPr>
        <w:t xml:space="preserve"> beneficial owners.</w:t>
      </w:r>
    </w:p>
    <w:p w14:paraId="34CC0E4B" w14:textId="77777777" w:rsidR="00CD40C9" w:rsidRPr="00A23834" w:rsidRDefault="00CD40C9" w:rsidP="00677C16">
      <w:pPr>
        <w:snapToGrid w:val="0"/>
        <w:spacing w:line="240" w:lineRule="exact"/>
        <w:jc w:val="both"/>
        <w:rPr>
          <w:rFonts w:ascii="Tahoma" w:eastAsia="標楷體" w:hAnsi="Tahoma" w:cs="Tahoma"/>
          <w:sz w:val="20"/>
          <w:szCs w:val="20"/>
        </w:rPr>
      </w:pPr>
    </w:p>
    <w:p w14:paraId="134D32EF" w14:textId="1FD2071E" w:rsidR="00D6430B" w:rsidRPr="00A23834" w:rsidRDefault="00CF74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bookmarkStart w:id="24" w:name="_Toc142480924"/>
      <w:bookmarkStart w:id="25" w:name="_Toc142484953"/>
      <w:r>
        <w:rPr>
          <w:rFonts w:ascii="Tahoma" w:eastAsia="標楷體" w:hAnsi="Tahoma" w:cs="Tahoma"/>
          <w:sz w:val="20"/>
          <w:szCs w:val="20"/>
        </w:rPr>
        <w:t>Prohibition and exemption</w:t>
      </w:r>
      <w:bookmarkEnd w:id="24"/>
      <w:bookmarkEnd w:id="25"/>
    </w:p>
    <w:p w14:paraId="13A7AC94" w14:textId="77777777" w:rsidR="00621829" w:rsidRPr="004853E7" w:rsidRDefault="00621829" w:rsidP="00677C16">
      <w:pPr>
        <w:snapToGrid w:val="0"/>
        <w:spacing w:line="240" w:lineRule="exact"/>
        <w:jc w:val="both"/>
        <w:rPr>
          <w:rFonts w:ascii="Tahoma" w:eastAsia="標楷體" w:hAnsi="Tahoma" w:cs="Tahoma"/>
          <w:sz w:val="20"/>
          <w:szCs w:val="20"/>
          <w:lang w:eastAsia="zh-HK"/>
        </w:rPr>
      </w:pPr>
    </w:p>
    <w:p w14:paraId="2294749F" w14:textId="77777777" w:rsidR="00D6430B" w:rsidRPr="004853E7" w:rsidRDefault="0074103C" w:rsidP="00677C16">
      <w:pPr>
        <w:snapToGrid w:val="0"/>
        <w:spacing w:line="240" w:lineRule="exact"/>
        <w:jc w:val="both"/>
        <w:rPr>
          <w:rFonts w:ascii="Tahoma" w:eastAsia="標楷體" w:hAnsi="Tahoma" w:cs="Tahoma"/>
          <w:sz w:val="20"/>
          <w:szCs w:val="20"/>
          <w:lang w:eastAsia="zh-HK"/>
        </w:rPr>
      </w:pPr>
      <w:r w:rsidRPr="004853E7">
        <w:rPr>
          <w:rFonts w:ascii="Tahoma" w:eastAsia="標楷體" w:hAnsi="Tahoma" w:cs="Tahoma"/>
          <w:sz w:val="20"/>
          <w:szCs w:val="20"/>
          <w:lang w:eastAsia="zh-HK"/>
        </w:rPr>
        <w:t xml:space="preserve">The Bank will not establish any business relationship with </w:t>
      </w:r>
      <w:r w:rsidR="00020CEE" w:rsidRPr="004853E7">
        <w:rPr>
          <w:rFonts w:ascii="Tahoma" w:eastAsia="標楷體" w:hAnsi="Tahoma" w:cs="Tahoma"/>
          <w:sz w:val="20"/>
          <w:szCs w:val="20"/>
          <w:lang w:eastAsia="zh-HK"/>
        </w:rPr>
        <w:t xml:space="preserve">a </w:t>
      </w:r>
      <w:r w:rsidRPr="004853E7">
        <w:rPr>
          <w:rFonts w:ascii="Tahoma" w:eastAsia="標楷體" w:hAnsi="Tahoma" w:cs="Tahoma"/>
          <w:sz w:val="20"/>
          <w:szCs w:val="20"/>
          <w:lang w:eastAsia="zh-HK"/>
        </w:rPr>
        <w:t xml:space="preserve">legal entity other than </w:t>
      </w:r>
      <w:r w:rsidR="00020CEE" w:rsidRPr="004853E7">
        <w:rPr>
          <w:rFonts w:ascii="Tahoma" w:eastAsia="標楷體" w:hAnsi="Tahoma" w:cs="Tahoma"/>
          <w:sz w:val="20"/>
          <w:szCs w:val="20"/>
          <w:lang w:eastAsia="zh-HK"/>
        </w:rPr>
        <w:t xml:space="preserve">a </w:t>
      </w:r>
      <w:r w:rsidRPr="004853E7">
        <w:rPr>
          <w:rFonts w:ascii="Tahoma" w:eastAsia="標楷體" w:hAnsi="Tahoma" w:cs="Tahoma"/>
          <w:sz w:val="20"/>
          <w:szCs w:val="20"/>
          <w:lang w:eastAsia="zh-HK"/>
        </w:rPr>
        <w:t>corporate company, such as a foundation or a</w:t>
      </w:r>
      <w:r w:rsidR="009F5501" w:rsidRPr="004853E7">
        <w:rPr>
          <w:rFonts w:ascii="Tahoma" w:eastAsia="標楷體" w:hAnsi="Tahoma" w:cs="Tahoma"/>
          <w:sz w:val="20"/>
          <w:szCs w:val="20"/>
          <w:lang w:eastAsia="zh-HK"/>
        </w:rPr>
        <w:t xml:space="preserve"> non-profit organization, or </w:t>
      </w:r>
      <w:r w:rsidRPr="004853E7">
        <w:rPr>
          <w:rFonts w:ascii="Tahoma" w:eastAsia="標楷體" w:hAnsi="Tahoma" w:cs="Tahoma"/>
          <w:sz w:val="20"/>
          <w:szCs w:val="20"/>
          <w:lang w:eastAsia="zh-HK"/>
        </w:rPr>
        <w:t xml:space="preserve">a trust, </w:t>
      </w:r>
      <w:r w:rsidR="00AF503E" w:rsidRPr="004853E7">
        <w:rPr>
          <w:rFonts w:ascii="Tahoma" w:eastAsia="標楷體" w:hAnsi="Tahoma" w:cs="Tahoma"/>
          <w:sz w:val="20"/>
          <w:szCs w:val="20"/>
          <w:lang w:eastAsia="zh-HK"/>
        </w:rPr>
        <w:t xml:space="preserve">de facto associations, </w:t>
      </w:r>
      <w:r w:rsidRPr="004853E7">
        <w:rPr>
          <w:rFonts w:ascii="Tahoma" w:eastAsia="標楷體" w:hAnsi="Tahoma" w:cs="Tahoma"/>
          <w:sz w:val="20"/>
          <w:szCs w:val="20"/>
          <w:lang w:eastAsia="zh-HK"/>
        </w:rPr>
        <w:t>fiduciary or any similar legal arrangement</w:t>
      </w:r>
      <w:r w:rsidR="00020CEE" w:rsidRPr="004853E7">
        <w:rPr>
          <w:rFonts w:ascii="Tahoma" w:eastAsia="標楷體" w:hAnsi="Tahoma" w:cs="Tahoma"/>
          <w:sz w:val="20"/>
          <w:szCs w:val="20"/>
          <w:lang w:eastAsia="zh-HK"/>
        </w:rPr>
        <w:t>s</w:t>
      </w:r>
      <w:r w:rsidRPr="004853E7">
        <w:rPr>
          <w:rFonts w:ascii="Tahoma" w:eastAsia="標楷體" w:hAnsi="Tahoma" w:cs="Tahoma"/>
          <w:sz w:val="20"/>
          <w:szCs w:val="20"/>
          <w:lang w:eastAsia="zh-HK"/>
        </w:rPr>
        <w:t>.</w:t>
      </w:r>
    </w:p>
    <w:p w14:paraId="344ABCD9" w14:textId="63F1F2F4" w:rsidR="00621829" w:rsidRPr="004853E7" w:rsidRDefault="00621829" w:rsidP="00677C16">
      <w:pPr>
        <w:snapToGrid w:val="0"/>
        <w:spacing w:line="240" w:lineRule="exact"/>
        <w:jc w:val="both"/>
        <w:rPr>
          <w:rFonts w:ascii="Tahoma" w:eastAsia="標楷體" w:hAnsi="Tahoma" w:cs="Tahoma"/>
          <w:sz w:val="20"/>
          <w:szCs w:val="20"/>
          <w:lang w:eastAsia="zh-HK"/>
        </w:rPr>
      </w:pPr>
    </w:p>
    <w:p w14:paraId="3CCE585E" w14:textId="067CFA57" w:rsidR="008E176E" w:rsidRPr="004853E7" w:rsidRDefault="008E176E" w:rsidP="008E176E">
      <w:pPr>
        <w:snapToGrid w:val="0"/>
        <w:spacing w:line="240" w:lineRule="exact"/>
        <w:jc w:val="both"/>
        <w:rPr>
          <w:rFonts w:ascii="Tahoma" w:eastAsia="標楷體" w:hAnsi="Tahoma" w:cs="Tahoma"/>
          <w:sz w:val="20"/>
          <w:szCs w:val="20"/>
          <w:lang w:eastAsia="zh-HK"/>
        </w:rPr>
      </w:pPr>
      <w:r w:rsidRPr="004853E7">
        <w:rPr>
          <w:rFonts w:ascii="Tahoma" w:eastAsia="標楷體" w:hAnsi="Tahoma" w:cs="Tahoma"/>
          <w:sz w:val="20"/>
          <w:szCs w:val="20"/>
          <w:lang w:eastAsia="zh-HK"/>
        </w:rPr>
        <w:t>The non-profit organization which is set up and controlled by the government of the Republic of China (Taiwan) is exempted from the prohibition described in the above paragraph, provided the establishment of the business relationship is approved by the Management Committee.</w:t>
      </w:r>
    </w:p>
    <w:p w14:paraId="469F28BB" w14:textId="77777777" w:rsidR="008E176E" w:rsidRDefault="008E176E" w:rsidP="00677C16">
      <w:pPr>
        <w:snapToGrid w:val="0"/>
        <w:spacing w:line="240" w:lineRule="exact"/>
        <w:jc w:val="both"/>
        <w:rPr>
          <w:rFonts w:ascii="Tahoma" w:eastAsia="標楷體" w:hAnsi="Tahoma" w:cs="Tahoma"/>
          <w:color w:val="FF0000"/>
          <w:sz w:val="20"/>
          <w:szCs w:val="20"/>
          <w:u w:val="single"/>
        </w:rPr>
      </w:pPr>
    </w:p>
    <w:p w14:paraId="323B9671" w14:textId="2ED38283" w:rsidR="00D6430B" w:rsidRPr="00A23834" w:rsidRDefault="00C723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bookmarkStart w:id="26" w:name="_Toc142480925"/>
      <w:bookmarkStart w:id="27" w:name="_Toc142484954"/>
      <w:r>
        <w:rPr>
          <w:rFonts w:ascii="Tahoma" w:eastAsia="標楷體" w:hAnsi="Tahoma" w:cs="Tahoma"/>
          <w:sz w:val="20"/>
          <w:szCs w:val="20"/>
        </w:rPr>
        <w:t>Three Risk Level</w:t>
      </w:r>
      <w:bookmarkEnd w:id="26"/>
      <w:bookmarkEnd w:id="27"/>
    </w:p>
    <w:p w14:paraId="33073D13" w14:textId="77777777" w:rsidR="00621829" w:rsidRPr="00A23834" w:rsidRDefault="00621829" w:rsidP="00677C16">
      <w:pPr>
        <w:snapToGrid w:val="0"/>
        <w:spacing w:line="240" w:lineRule="exact"/>
        <w:jc w:val="both"/>
        <w:rPr>
          <w:rFonts w:ascii="Tahoma" w:eastAsia="標楷體" w:hAnsi="Tahoma" w:cs="Tahoma"/>
          <w:sz w:val="20"/>
          <w:szCs w:val="20"/>
        </w:rPr>
      </w:pPr>
    </w:p>
    <w:p w14:paraId="37BEDB71" w14:textId="77777777" w:rsidR="00D6430B" w:rsidRPr="00A23834" w:rsidRDefault="00054DC6" w:rsidP="00677C16">
      <w:pPr>
        <w:snapToGrid w:val="0"/>
        <w:spacing w:line="240" w:lineRule="exact"/>
        <w:jc w:val="both"/>
        <w:rPr>
          <w:rFonts w:ascii="Tahoma" w:eastAsia="標楷體" w:hAnsi="Tahoma" w:cs="Tahoma"/>
          <w:sz w:val="20"/>
          <w:szCs w:val="20"/>
        </w:rPr>
      </w:pPr>
      <w:r w:rsidRPr="00A23834">
        <w:rPr>
          <w:rFonts w:ascii="Tahoma" w:eastAsia="標楷體" w:hAnsi="Tahoma" w:cs="Tahoma"/>
          <w:sz w:val="20"/>
          <w:szCs w:val="20"/>
        </w:rPr>
        <w:t xml:space="preserve">Based on the criteria of </w:t>
      </w:r>
      <w:r w:rsidR="00F5157B" w:rsidRPr="00A23834">
        <w:rPr>
          <w:rFonts w:ascii="Tahoma" w:eastAsia="標楷體" w:hAnsi="Tahoma" w:cs="Tahoma"/>
          <w:sz w:val="20"/>
          <w:szCs w:val="20"/>
        </w:rPr>
        <w:t>Relationship establishing channel, T</w:t>
      </w:r>
      <w:r w:rsidR="00F5157B" w:rsidRPr="00A23834">
        <w:rPr>
          <w:rFonts w:ascii="Tahoma" w:eastAsia="標楷體" w:hAnsi="Tahoma" w:cs="Tahoma"/>
          <w:sz w:val="20"/>
          <w:szCs w:val="20"/>
          <w:lang w:eastAsia="zh-HK"/>
        </w:rPr>
        <w:t>ype of Product and services,</w:t>
      </w:r>
      <w:r w:rsidR="00F5157B" w:rsidRPr="00A23834">
        <w:rPr>
          <w:rFonts w:ascii="Tahoma" w:eastAsia="標楷體" w:hAnsi="Tahoma" w:cs="Tahoma"/>
          <w:sz w:val="20"/>
          <w:szCs w:val="20"/>
        </w:rPr>
        <w:t xml:space="preserve"> Customer Type, Type of B</w:t>
      </w:r>
      <w:r w:rsidR="00F5157B" w:rsidRPr="00A23834">
        <w:rPr>
          <w:rFonts w:ascii="Tahoma" w:eastAsia="標楷體" w:hAnsi="Tahoma" w:cs="Tahoma"/>
          <w:sz w:val="20"/>
          <w:szCs w:val="20"/>
          <w:lang w:eastAsia="zh-HK"/>
        </w:rPr>
        <w:t>usiness/ Occupation</w:t>
      </w:r>
      <w:r w:rsidR="00F5157B" w:rsidRPr="00A23834">
        <w:rPr>
          <w:rFonts w:ascii="Tahoma" w:eastAsia="標楷體" w:hAnsi="Tahoma" w:cs="Tahoma"/>
          <w:sz w:val="20"/>
          <w:szCs w:val="20"/>
        </w:rPr>
        <w:t>, Geographic Locations,</w:t>
      </w:r>
      <w:r w:rsidRPr="00A23834">
        <w:rPr>
          <w:rFonts w:ascii="Tahoma" w:eastAsia="標楷體" w:hAnsi="Tahoma" w:cs="Tahoma"/>
          <w:sz w:val="20"/>
          <w:szCs w:val="20"/>
        </w:rPr>
        <w:t xml:space="preserve"> </w:t>
      </w:r>
      <w:r w:rsidR="004C0DA4" w:rsidRPr="00A23834">
        <w:rPr>
          <w:rFonts w:ascii="Tahoma" w:eastAsia="標楷體" w:hAnsi="Tahoma" w:cs="Tahoma"/>
          <w:sz w:val="20"/>
          <w:szCs w:val="20"/>
        </w:rPr>
        <w:t xml:space="preserve">and </w:t>
      </w:r>
      <w:r w:rsidRPr="00A23834">
        <w:rPr>
          <w:rFonts w:ascii="Tahoma" w:eastAsia="標楷體" w:hAnsi="Tahoma" w:cs="Tahoma"/>
          <w:sz w:val="20"/>
          <w:szCs w:val="20"/>
        </w:rPr>
        <w:t xml:space="preserve">Purpose of funds, customers are classified </w:t>
      </w:r>
      <w:r w:rsidRPr="00A23834">
        <w:rPr>
          <w:rFonts w:ascii="Tahoma" w:eastAsia="標楷體" w:hAnsi="Tahoma" w:cs="Tahoma"/>
          <w:sz w:val="20"/>
          <w:szCs w:val="20"/>
        </w:rPr>
        <w:lastRenderedPageBreak/>
        <w:t>into three risk categories: low risk, medium risk and high risk.</w:t>
      </w:r>
    </w:p>
    <w:p w14:paraId="2FF55A37" w14:textId="77777777" w:rsidR="00D6430B" w:rsidRPr="00A23834" w:rsidRDefault="00D24CAC"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When </w:t>
      </w:r>
      <w:r w:rsidR="00054DC6" w:rsidRPr="00A23834">
        <w:rPr>
          <w:rFonts w:ascii="Tahoma" w:eastAsia="標楷體" w:hAnsi="Tahoma" w:cs="Tahoma"/>
          <w:sz w:val="20"/>
          <w:szCs w:val="20"/>
          <w:lang w:eastAsia="zh-HK"/>
        </w:rPr>
        <w:t>accepting a new customer or</w:t>
      </w:r>
      <w:r w:rsidR="00054DC6" w:rsidRPr="00A23834">
        <w:rPr>
          <w:rFonts w:ascii="Tahoma" w:eastAsia="標楷體" w:hAnsi="Tahoma" w:cs="Tahoma"/>
          <w:sz w:val="20"/>
          <w:szCs w:val="20"/>
        </w:rPr>
        <w:t xml:space="preserve"> </w:t>
      </w:r>
      <w:r w:rsidR="00F5157B" w:rsidRPr="00A23834">
        <w:rPr>
          <w:rFonts w:ascii="Tahoma" w:eastAsia="標楷體" w:hAnsi="Tahoma" w:cs="Tahoma"/>
          <w:sz w:val="20"/>
          <w:szCs w:val="20"/>
        </w:rPr>
        <w:t>performing the</w:t>
      </w:r>
      <w:r w:rsidRPr="00A23834">
        <w:rPr>
          <w:rFonts w:ascii="Tahoma" w:eastAsia="標楷體" w:hAnsi="Tahoma" w:cs="Tahoma"/>
          <w:sz w:val="20"/>
          <w:szCs w:val="20"/>
        </w:rPr>
        <w:t xml:space="preserve"> customer due diligence</w:t>
      </w:r>
      <w:r w:rsidR="008C1C57" w:rsidRPr="00A23834">
        <w:rPr>
          <w:rFonts w:ascii="Tahoma" w:eastAsia="標楷體" w:hAnsi="Tahoma" w:cs="Tahoma"/>
          <w:sz w:val="20"/>
          <w:szCs w:val="20"/>
        </w:rPr>
        <w:t xml:space="preserve"> according to article </w:t>
      </w:r>
      <w:r w:rsidR="00590818" w:rsidRPr="00A23834">
        <w:rPr>
          <w:rFonts w:ascii="Tahoma" w:eastAsia="標楷體" w:hAnsi="Tahoma" w:cs="Tahoma"/>
          <w:sz w:val="20"/>
          <w:szCs w:val="20"/>
        </w:rPr>
        <w:t xml:space="preserve">16 </w:t>
      </w:r>
      <w:r w:rsidR="00B931B0" w:rsidRPr="00A23834">
        <w:rPr>
          <w:rFonts w:ascii="Tahoma" w:eastAsia="標楷體" w:hAnsi="Tahoma" w:cs="Tahoma"/>
          <w:sz w:val="20"/>
          <w:szCs w:val="20"/>
        </w:rPr>
        <w:t>of this Guidelines</w:t>
      </w:r>
      <w:r w:rsidR="00F5157B" w:rsidRPr="00A23834">
        <w:rPr>
          <w:rFonts w:ascii="Tahoma" w:eastAsia="標楷體" w:hAnsi="Tahoma" w:cs="Tahoma"/>
          <w:sz w:val="20"/>
          <w:szCs w:val="20"/>
        </w:rPr>
        <w:t xml:space="preserve"> for the existing cu</w:t>
      </w:r>
      <w:r w:rsidR="000E67B3" w:rsidRPr="00A23834">
        <w:rPr>
          <w:rFonts w:ascii="Tahoma" w:eastAsia="標楷體" w:hAnsi="Tahoma" w:cs="Tahoma"/>
          <w:sz w:val="20"/>
          <w:szCs w:val="20"/>
        </w:rPr>
        <w:t>s</w:t>
      </w:r>
      <w:r w:rsidR="00F5157B" w:rsidRPr="00A23834">
        <w:rPr>
          <w:rFonts w:ascii="Tahoma" w:eastAsia="標楷體" w:hAnsi="Tahoma" w:cs="Tahoma"/>
          <w:sz w:val="20"/>
          <w:szCs w:val="20"/>
        </w:rPr>
        <w:t>tomers</w:t>
      </w:r>
      <w:r w:rsidRPr="00A23834">
        <w:rPr>
          <w:rFonts w:ascii="Tahoma" w:eastAsia="標楷體" w:hAnsi="Tahoma" w:cs="Tahoma"/>
          <w:sz w:val="20"/>
          <w:szCs w:val="20"/>
        </w:rPr>
        <w:t xml:space="preserve">, the bank </w:t>
      </w:r>
      <w:r w:rsidR="009F5501" w:rsidRPr="00A23834">
        <w:rPr>
          <w:rFonts w:ascii="Tahoma" w:eastAsia="標楷體" w:hAnsi="Tahoma" w:cs="Tahoma"/>
          <w:sz w:val="20"/>
          <w:szCs w:val="20"/>
        </w:rPr>
        <w:t>shall</w:t>
      </w:r>
      <w:r w:rsidRPr="00A23834">
        <w:rPr>
          <w:rFonts w:ascii="Tahoma" w:eastAsia="標楷體" w:hAnsi="Tahoma" w:cs="Tahoma"/>
          <w:sz w:val="20"/>
          <w:szCs w:val="20"/>
        </w:rPr>
        <w:t xml:space="preserve"> fill in</w:t>
      </w:r>
      <w:r w:rsidR="009F5501" w:rsidRPr="00A23834">
        <w:rPr>
          <w:rFonts w:ascii="Tahoma" w:eastAsia="標楷體" w:hAnsi="Tahoma" w:cs="Tahoma"/>
          <w:sz w:val="20"/>
          <w:szCs w:val="20"/>
        </w:rPr>
        <w:t xml:space="preserve"> the</w:t>
      </w:r>
      <w:r w:rsidRPr="00A23834">
        <w:rPr>
          <w:rFonts w:ascii="Tahoma" w:eastAsia="標楷體" w:hAnsi="Tahoma" w:cs="Tahoma"/>
          <w:sz w:val="20"/>
          <w:szCs w:val="20"/>
        </w:rPr>
        <w:t xml:space="preserve"> </w:t>
      </w:r>
      <w:r w:rsidR="00B34FBE" w:rsidRPr="00A23834">
        <w:rPr>
          <w:rFonts w:ascii="Tahoma" w:eastAsia="標楷體" w:hAnsi="Tahoma" w:cs="Tahoma"/>
          <w:sz w:val="20"/>
          <w:szCs w:val="20"/>
        </w:rPr>
        <w:t>“Money Laundering and Terrorism Financing Risk Assessment Table of UTB” to classify customers’ risk category.</w:t>
      </w:r>
    </w:p>
    <w:p w14:paraId="7292B37D" w14:textId="77777777" w:rsidR="00621829" w:rsidRPr="00A23834" w:rsidRDefault="00621829" w:rsidP="00677C16">
      <w:pPr>
        <w:pStyle w:val="ListParagraph"/>
        <w:snapToGrid w:val="0"/>
        <w:spacing w:line="240" w:lineRule="exact"/>
        <w:ind w:leftChars="0" w:left="482"/>
        <w:jc w:val="both"/>
        <w:rPr>
          <w:rFonts w:ascii="Tahoma" w:eastAsia="標楷體" w:hAnsi="Tahoma" w:cs="Tahoma"/>
          <w:sz w:val="20"/>
          <w:szCs w:val="20"/>
        </w:rPr>
      </w:pPr>
    </w:p>
    <w:p w14:paraId="00FCB581" w14:textId="77777777" w:rsidR="00D24CAC" w:rsidRPr="00A23834" w:rsidRDefault="00B931B0"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When customers meet one of the following conditions, they are classified as “high risk” customers:</w:t>
      </w:r>
    </w:p>
    <w:p w14:paraId="79CBC956" w14:textId="77777777" w:rsidR="00D6430B" w:rsidRPr="00A23834" w:rsidRDefault="00D2795C"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The customer or their beneficial owners, senior management is</w:t>
      </w:r>
      <w:r w:rsidR="00E66F4F" w:rsidRPr="00A23834">
        <w:rPr>
          <w:rFonts w:ascii="Tahoma" w:eastAsia="標楷體" w:hAnsi="Tahoma" w:cs="Tahoma"/>
          <w:sz w:val="20"/>
          <w:szCs w:val="20"/>
        </w:rPr>
        <w:t xml:space="preserve"> a</w:t>
      </w:r>
      <w:r w:rsidRPr="00A23834">
        <w:rPr>
          <w:rFonts w:ascii="Tahoma" w:eastAsia="標楷體" w:hAnsi="Tahoma" w:cs="Tahoma"/>
          <w:sz w:val="20"/>
          <w:szCs w:val="20"/>
        </w:rPr>
        <w:t xml:space="preserve"> </w:t>
      </w:r>
      <w:r w:rsidR="00B931B0" w:rsidRPr="00A23834">
        <w:rPr>
          <w:rFonts w:ascii="Tahoma" w:eastAsia="標楷體" w:hAnsi="Tahoma" w:cs="Tahoma"/>
          <w:sz w:val="20"/>
          <w:szCs w:val="20"/>
        </w:rPr>
        <w:t xml:space="preserve">PEP and </w:t>
      </w:r>
      <w:r w:rsidR="00BD7DAF" w:rsidRPr="00A23834">
        <w:rPr>
          <w:rFonts w:ascii="Tahoma" w:eastAsia="標楷體" w:hAnsi="Tahoma" w:cs="Tahoma"/>
          <w:sz w:val="20"/>
          <w:szCs w:val="20"/>
        </w:rPr>
        <w:t>the family members</w:t>
      </w:r>
      <w:r w:rsidR="000A1DBC" w:rsidRPr="00A23834">
        <w:rPr>
          <w:rFonts w:ascii="Tahoma" w:eastAsia="標楷體" w:hAnsi="Tahoma" w:cs="Tahoma"/>
          <w:sz w:val="20"/>
          <w:szCs w:val="20"/>
        </w:rPr>
        <w:t xml:space="preserve"> </w:t>
      </w:r>
      <w:r w:rsidR="00DC2BC0" w:rsidRPr="00A23834">
        <w:rPr>
          <w:rFonts w:ascii="Tahoma" w:eastAsia="標楷體" w:hAnsi="Tahoma" w:cs="Tahoma"/>
          <w:sz w:val="20"/>
          <w:szCs w:val="20"/>
          <w:lang w:eastAsia="zh-HK"/>
        </w:rPr>
        <w:t>and</w:t>
      </w:r>
      <w:r w:rsidR="00BD7DAF" w:rsidRPr="00A23834">
        <w:rPr>
          <w:rFonts w:ascii="Tahoma" w:eastAsia="標楷體" w:hAnsi="Tahoma" w:cs="Tahoma"/>
          <w:sz w:val="20"/>
          <w:szCs w:val="20"/>
        </w:rPr>
        <w:t xml:space="preserve"> persons known to be close associates.</w:t>
      </w:r>
    </w:p>
    <w:p w14:paraId="19F7E048" w14:textId="77777777" w:rsidR="00163054" w:rsidRPr="00A23834" w:rsidRDefault="00163054"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Customers</w:t>
      </w:r>
      <w:r w:rsidR="006D7879" w:rsidRPr="00A23834">
        <w:rPr>
          <w:rFonts w:ascii="Tahoma" w:eastAsia="標楷體" w:hAnsi="Tahoma" w:cs="Tahoma"/>
          <w:sz w:val="20"/>
          <w:szCs w:val="20"/>
        </w:rPr>
        <w:t xml:space="preserve"> who</w:t>
      </w:r>
      <w:r w:rsidRPr="00A23834">
        <w:rPr>
          <w:rFonts w:ascii="Tahoma" w:eastAsia="標楷體" w:hAnsi="Tahoma" w:cs="Tahoma"/>
          <w:sz w:val="20"/>
          <w:szCs w:val="20"/>
        </w:rPr>
        <w:t xml:space="preserve"> hold dual nationality or are residents in GAFI non cooperative countries</w:t>
      </w:r>
      <w:r w:rsidR="00020CEE" w:rsidRPr="00A23834">
        <w:rPr>
          <w:rFonts w:ascii="Tahoma" w:eastAsia="標楷體" w:hAnsi="Tahoma" w:cs="Tahoma"/>
          <w:sz w:val="20"/>
          <w:szCs w:val="20"/>
        </w:rPr>
        <w:t>, or</w:t>
      </w:r>
      <w:r w:rsidR="00FD1BE8" w:rsidRPr="00A23834">
        <w:rPr>
          <w:rFonts w:ascii="Tahoma" w:eastAsia="標楷體" w:hAnsi="Tahoma" w:cs="Tahoma"/>
          <w:sz w:val="20"/>
          <w:szCs w:val="20"/>
        </w:rPr>
        <w:t xml:space="preserve"> </w:t>
      </w:r>
      <w:r w:rsidR="00020CEE" w:rsidRPr="00A23834">
        <w:rPr>
          <w:rFonts w:ascii="Tahoma" w:eastAsia="標楷體" w:hAnsi="Tahoma" w:cs="Tahoma"/>
          <w:sz w:val="20"/>
          <w:szCs w:val="20"/>
        </w:rPr>
        <w:t xml:space="preserve">in </w:t>
      </w:r>
      <w:r w:rsidR="006B3699" w:rsidRPr="00A23834">
        <w:rPr>
          <w:rFonts w:ascii="Tahoma" w:eastAsia="標楷體" w:hAnsi="Tahoma" w:cs="Tahoma"/>
          <w:sz w:val="20"/>
          <w:szCs w:val="20"/>
        </w:rPr>
        <w:t xml:space="preserve">the sanction list </w:t>
      </w:r>
      <w:r w:rsidR="00B17DFC" w:rsidRPr="00A23834">
        <w:rPr>
          <w:rFonts w:ascii="Tahoma" w:eastAsia="標楷體" w:hAnsi="Tahoma" w:cs="Tahoma"/>
          <w:sz w:val="20"/>
          <w:szCs w:val="20"/>
        </w:rPr>
        <w:t>country</w:t>
      </w:r>
      <w:r w:rsidR="006B3699" w:rsidRPr="00A23834">
        <w:rPr>
          <w:rFonts w:ascii="Tahoma" w:eastAsia="標楷體" w:hAnsi="Tahoma" w:cs="Tahoma"/>
          <w:sz w:val="20"/>
          <w:szCs w:val="20"/>
        </w:rPr>
        <w:t xml:space="preserve"> </w:t>
      </w:r>
      <w:r w:rsidR="00B14AC8" w:rsidRPr="00A23834">
        <w:rPr>
          <w:rFonts w:ascii="Tahoma" w:eastAsia="標楷體" w:hAnsi="Tahoma" w:cs="Tahoma"/>
          <w:sz w:val="20"/>
          <w:szCs w:val="20"/>
          <w:lang w:eastAsia="zh-HK"/>
        </w:rPr>
        <w:t>publish</w:t>
      </w:r>
      <w:r w:rsidR="006B3699" w:rsidRPr="00A23834">
        <w:rPr>
          <w:rFonts w:ascii="Tahoma" w:eastAsia="標楷體" w:hAnsi="Tahoma" w:cs="Tahoma"/>
          <w:sz w:val="20"/>
          <w:szCs w:val="20"/>
        </w:rPr>
        <w:t xml:space="preserve">ed by </w:t>
      </w:r>
      <w:r w:rsidR="00020CEE" w:rsidRPr="00A23834">
        <w:rPr>
          <w:rFonts w:ascii="Tahoma" w:eastAsia="標楷體" w:hAnsi="Tahoma" w:cs="Tahoma"/>
          <w:sz w:val="20"/>
          <w:szCs w:val="20"/>
        </w:rPr>
        <w:t>EU</w:t>
      </w:r>
      <w:r w:rsidR="00572295" w:rsidRPr="00A23834">
        <w:rPr>
          <w:rFonts w:ascii="Tahoma" w:eastAsia="標楷體" w:hAnsi="Tahoma" w:cs="Tahoma"/>
          <w:sz w:val="20"/>
          <w:szCs w:val="20"/>
        </w:rPr>
        <w:t>, UN</w:t>
      </w:r>
      <w:r w:rsidR="00FD1BE8" w:rsidRPr="00A23834">
        <w:rPr>
          <w:rFonts w:ascii="Tahoma" w:eastAsia="標楷體" w:hAnsi="Tahoma" w:cs="Tahoma"/>
          <w:sz w:val="20"/>
          <w:szCs w:val="20"/>
        </w:rPr>
        <w:t xml:space="preserve"> </w:t>
      </w:r>
      <w:r w:rsidR="00020CEE" w:rsidRPr="00A23834">
        <w:rPr>
          <w:rFonts w:ascii="Tahoma" w:eastAsia="標楷體" w:hAnsi="Tahoma" w:cs="Tahoma"/>
          <w:sz w:val="20"/>
          <w:szCs w:val="20"/>
        </w:rPr>
        <w:t>or Belgi</w:t>
      </w:r>
      <w:r w:rsidR="000E753B" w:rsidRPr="00A23834">
        <w:rPr>
          <w:rFonts w:ascii="Tahoma" w:eastAsia="標楷體" w:hAnsi="Tahoma" w:cs="Tahoma"/>
          <w:sz w:val="20"/>
          <w:szCs w:val="20"/>
        </w:rPr>
        <w:t>um</w:t>
      </w:r>
      <w:r w:rsidR="00572295" w:rsidRPr="00A23834">
        <w:rPr>
          <w:rFonts w:ascii="Tahoma" w:eastAsia="標楷體" w:hAnsi="Tahoma" w:cs="Tahoma"/>
          <w:sz w:val="20"/>
          <w:szCs w:val="20"/>
        </w:rPr>
        <w:t>.</w:t>
      </w:r>
    </w:p>
    <w:p w14:paraId="5563E8B8" w14:textId="5B2FFF7B" w:rsidR="00163054" w:rsidRPr="00A23834" w:rsidRDefault="00163054"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Customers who are celebrities involved in financial dispute.</w:t>
      </w:r>
    </w:p>
    <w:p w14:paraId="74E3CE61" w14:textId="5B68EF6B" w:rsidR="002C52FF" w:rsidRPr="00A23834" w:rsidRDefault="002C52FF"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The purpose of account opening is unclear, or customer</w:t>
      </w:r>
      <w:r w:rsidR="003426BB" w:rsidRPr="00A23834">
        <w:rPr>
          <w:rFonts w:ascii="Tahoma" w:eastAsia="標楷體" w:hAnsi="Tahoma" w:cs="Tahoma"/>
          <w:sz w:val="20"/>
          <w:szCs w:val="20"/>
        </w:rPr>
        <w:t>s</w:t>
      </w:r>
      <w:r w:rsidR="006D7879" w:rsidRPr="00A23834">
        <w:rPr>
          <w:rFonts w:ascii="Tahoma" w:eastAsia="標楷體" w:hAnsi="Tahoma" w:cs="Tahoma"/>
          <w:sz w:val="20"/>
          <w:szCs w:val="20"/>
        </w:rPr>
        <w:t xml:space="preserve"> are</w:t>
      </w:r>
      <w:r w:rsidRPr="00A23834">
        <w:rPr>
          <w:rFonts w:ascii="Tahoma" w:eastAsia="標楷體" w:hAnsi="Tahoma" w:cs="Tahoma"/>
          <w:sz w:val="20"/>
          <w:szCs w:val="20"/>
        </w:rPr>
        <w:t xml:space="preserve"> considered to </w:t>
      </w:r>
      <w:r w:rsidR="00804197" w:rsidRPr="00A23834">
        <w:rPr>
          <w:rFonts w:ascii="Tahoma" w:eastAsia="標楷體" w:hAnsi="Tahoma" w:cs="Tahoma"/>
          <w:sz w:val="20"/>
          <w:szCs w:val="20"/>
        </w:rPr>
        <w:t>attempt to do</w:t>
      </w:r>
      <w:r w:rsidRPr="00A23834">
        <w:rPr>
          <w:rFonts w:ascii="Tahoma" w:eastAsia="標楷體" w:hAnsi="Tahoma" w:cs="Tahoma"/>
          <w:sz w:val="20"/>
          <w:szCs w:val="20"/>
        </w:rPr>
        <w:t xml:space="preserve"> money laundering or terrorist financing.</w:t>
      </w:r>
    </w:p>
    <w:p w14:paraId="627162E3" w14:textId="77777777" w:rsidR="003426BB" w:rsidRPr="00A23834" w:rsidRDefault="00892722"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Customers</w:t>
      </w:r>
      <w:r w:rsidR="0022050E" w:rsidRPr="00A23834">
        <w:rPr>
          <w:rFonts w:ascii="Tahoma" w:eastAsia="標楷體" w:hAnsi="Tahoma" w:cs="Tahoma"/>
          <w:sz w:val="20"/>
          <w:szCs w:val="20"/>
          <w:lang w:eastAsia="zh-HK"/>
        </w:rPr>
        <w:t xml:space="preserve"> used to be reported to be suspicious of money laundering transaction.</w:t>
      </w:r>
    </w:p>
    <w:p w14:paraId="32EB7DDA" w14:textId="142B4049" w:rsidR="00572295" w:rsidRPr="00A23834" w:rsidRDefault="00572295"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lang w:eastAsia="zh-HK"/>
        </w:rPr>
        <w:t xml:space="preserve">Financial Institutions from outside EEA </w:t>
      </w:r>
      <w:r w:rsidR="00EC40CF" w:rsidRPr="00A23834">
        <w:rPr>
          <w:rFonts w:ascii="Tahoma" w:eastAsia="標楷體" w:hAnsi="Tahoma" w:cs="Tahoma"/>
          <w:sz w:val="20"/>
          <w:szCs w:val="20"/>
          <w:lang w:eastAsia="zh-HK"/>
        </w:rPr>
        <w:t>countries</w:t>
      </w:r>
      <w:r w:rsidRPr="00A23834">
        <w:rPr>
          <w:rFonts w:ascii="Tahoma" w:eastAsia="標楷體" w:hAnsi="Tahoma" w:cs="Tahoma"/>
          <w:sz w:val="20"/>
          <w:szCs w:val="20"/>
          <w:lang w:eastAsia="zh-HK"/>
        </w:rPr>
        <w:t xml:space="preserve"> which are</w:t>
      </w:r>
      <w:r w:rsidRPr="00A23834">
        <w:rPr>
          <w:rFonts w:ascii="Tahoma" w:eastAsia="標楷體" w:hAnsi="Tahoma" w:cs="Tahoma"/>
          <w:b/>
          <w:sz w:val="20"/>
          <w:szCs w:val="20"/>
          <w:lang w:eastAsia="zh-HK"/>
        </w:rPr>
        <w:t xml:space="preserve"> </w:t>
      </w:r>
      <w:r w:rsidRPr="00A23834">
        <w:rPr>
          <w:rFonts w:ascii="Tahoma" w:eastAsia="標楷體" w:hAnsi="Tahoma" w:cs="Tahoma"/>
          <w:sz w:val="20"/>
          <w:szCs w:val="20"/>
          <w:lang w:eastAsia="zh-HK"/>
        </w:rPr>
        <w:t>not GAFI equivalent countries and ask for opening a correspondent bank account.</w:t>
      </w:r>
      <w:r w:rsidR="00285D46" w:rsidRPr="00A23834">
        <w:rPr>
          <w:rFonts w:ascii="Tahoma" w:eastAsia="標楷體" w:hAnsi="Tahoma" w:cs="Tahoma"/>
          <w:sz w:val="20"/>
          <w:szCs w:val="20"/>
        </w:rPr>
        <w:t xml:space="preserve"> </w:t>
      </w:r>
    </w:p>
    <w:p w14:paraId="5A4DFF31" w14:textId="24EA12EB" w:rsidR="001F6E7A" w:rsidRPr="00A23834" w:rsidRDefault="001F6E7A"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eastAsia="Arial Unicode MS" w:cs="Calibri"/>
          <w:sz w:val="22"/>
        </w:rPr>
        <w:t>The customer is registered in/is residing in/his</w:t>
      </w:r>
      <w:r w:rsidRPr="00A23834">
        <w:rPr>
          <w:rFonts w:eastAsia="Arial Unicode MS" w:cs="Calibri" w:hint="eastAsia"/>
          <w:sz w:val="22"/>
        </w:rPr>
        <w:t xml:space="preserve"> </w:t>
      </w:r>
      <w:r w:rsidRPr="00A23834">
        <w:rPr>
          <w:rFonts w:eastAsia="Arial Unicode MS" w:cs="Calibri"/>
          <w:sz w:val="22"/>
        </w:rPr>
        <w:t>or her nationality is of the high-risk country defined by the European Commission.</w:t>
      </w:r>
    </w:p>
    <w:p w14:paraId="13948C74" w14:textId="44DCFD4E" w:rsidR="001F6E7A" w:rsidRPr="00A23834" w:rsidRDefault="001F6E7A"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eastAsia="Arial Unicode MS" w:cs="Calibri"/>
          <w:sz w:val="22"/>
        </w:rPr>
        <w:t>The customer is subject of negative news. The definition of negative news is determined in the relevant methodology.</w:t>
      </w:r>
    </w:p>
    <w:p w14:paraId="0F47D071" w14:textId="77777777" w:rsidR="00621829" w:rsidRPr="00A23834" w:rsidRDefault="00621829" w:rsidP="00677C16">
      <w:pPr>
        <w:pStyle w:val="ListParagraph"/>
        <w:snapToGrid w:val="0"/>
        <w:spacing w:line="240" w:lineRule="exact"/>
        <w:ind w:leftChars="0" w:left="964"/>
        <w:jc w:val="both"/>
        <w:rPr>
          <w:rFonts w:ascii="Tahoma" w:eastAsia="標楷體" w:hAnsi="Tahoma" w:cs="Tahoma"/>
          <w:sz w:val="20"/>
          <w:szCs w:val="20"/>
        </w:rPr>
      </w:pPr>
    </w:p>
    <w:p w14:paraId="51143406" w14:textId="42EBB2B0" w:rsidR="00054DC6" w:rsidRPr="00A23834" w:rsidRDefault="00054DC6"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kern w:val="0"/>
          <w:sz w:val="20"/>
          <w:szCs w:val="20"/>
          <w:lang w:eastAsia="zh-HK"/>
        </w:rPr>
        <w:t xml:space="preserve">The following factors should be </w:t>
      </w:r>
      <w:r w:rsidR="00572295" w:rsidRPr="00A23834">
        <w:rPr>
          <w:rFonts w:ascii="Tahoma" w:eastAsia="標楷體" w:hAnsi="Tahoma" w:cs="Tahoma"/>
          <w:kern w:val="0"/>
          <w:sz w:val="20"/>
          <w:szCs w:val="20"/>
          <w:lang w:eastAsia="zh-HK"/>
        </w:rPr>
        <w:t xml:space="preserve">taken </w:t>
      </w:r>
      <w:r w:rsidRPr="00A23834">
        <w:rPr>
          <w:rFonts w:ascii="Tahoma" w:eastAsia="標楷體" w:hAnsi="Tahoma" w:cs="Tahoma"/>
          <w:kern w:val="0"/>
          <w:sz w:val="20"/>
          <w:szCs w:val="20"/>
          <w:lang w:eastAsia="zh-HK"/>
        </w:rPr>
        <w:t>into account and be identified as an increasing risk criterion when classifying the risk category of a customer:</w:t>
      </w:r>
    </w:p>
    <w:p w14:paraId="0F1CB422" w14:textId="42E48F39" w:rsidR="00054DC6" w:rsidRPr="00A23834" w:rsidRDefault="003D0DCE" w:rsidP="00677C16">
      <w:pPr>
        <w:pStyle w:val="ListParagraph"/>
        <w:numPr>
          <w:ilvl w:val="2"/>
          <w:numId w:val="5"/>
        </w:numPr>
        <w:snapToGrid w:val="0"/>
        <w:spacing w:line="240" w:lineRule="exact"/>
        <w:ind w:leftChars="0"/>
        <w:jc w:val="both"/>
        <w:rPr>
          <w:rFonts w:ascii="Tahoma" w:eastAsia="標楷體" w:hAnsi="Tahoma" w:cs="Tahoma"/>
          <w:sz w:val="20"/>
          <w:szCs w:val="20"/>
        </w:rPr>
      </w:pPr>
      <w:r>
        <w:rPr>
          <w:rFonts w:ascii="Tahoma" w:eastAsia="標楷體" w:hAnsi="Tahoma" w:cs="Tahoma"/>
          <w:kern w:val="0"/>
          <w:sz w:val="20"/>
          <w:szCs w:val="20"/>
        </w:rPr>
        <w:t>T</w:t>
      </w:r>
      <w:r w:rsidR="00054DC6" w:rsidRPr="00A23834">
        <w:rPr>
          <w:rFonts w:ascii="Tahoma" w:eastAsia="標楷體" w:hAnsi="Tahoma" w:cs="Tahoma"/>
          <w:kern w:val="0"/>
          <w:sz w:val="20"/>
          <w:szCs w:val="20"/>
        </w:rPr>
        <w:t>he customer is not physically present at the time of the identification.</w:t>
      </w:r>
    </w:p>
    <w:p w14:paraId="5B3729AF" w14:textId="55574CFB" w:rsidR="00054DC6" w:rsidRPr="00A23834" w:rsidRDefault="003D0DCE" w:rsidP="00677C16">
      <w:pPr>
        <w:pStyle w:val="ListParagraph"/>
        <w:numPr>
          <w:ilvl w:val="2"/>
          <w:numId w:val="5"/>
        </w:numPr>
        <w:snapToGrid w:val="0"/>
        <w:spacing w:line="240" w:lineRule="exact"/>
        <w:ind w:leftChars="0"/>
        <w:jc w:val="both"/>
        <w:rPr>
          <w:rFonts w:ascii="Tahoma" w:eastAsia="標楷體" w:hAnsi="Tahoma" w:cs="Tahoma"/>
          <w:sz w:val="20"/>
          <w:szCs w:val="20"/>
        </w:rPr>
      </w:pPr>
      <w:r>
        <w:rPr>
          <w:rFonts w:ascii="Tahoma" w:eastAsia="標楷體" w:hAnsi="Tahoma" w:cs="Tahoma"/>
          <w:kern w:val="0"/>
          <w:sz w:val="20"/>
          <w:szCs w:val="20"/>
          <w:lang w:eastAsia="zh-HK"/>
        </w:rPr>
        <w:t>I</w:t>
      </w:r>
      <w:r w:rsidR="00054DC6" w:rsidRPr="00A23834">
        <w:rPr>
          <w:rFonts w:ascii="Tahoma" w:eastAsia="標楷體" w:hAnsi="Tahoma" w:cs="Tahoma"/>
          <w:kern w:val="0"/>
          <w:sz w:val="20"/>
          <w:szCs w:val="20"/>
          <w:lang w:eastAsia="zh-HK"/>
        </w:rPr>
        <w:t xml:space="preserve">t is </w:t>
      </w:r>
      <w:r w:rsidR="00054DC6" w:rsidRPr="00A23834">
        <w:rPr>
          <w:rFonts w:ascii="Tahoma" w:eastAsia="標楷體" w:hAnsi="Tahoma" w:cs="Tahoma"/>
          <w:kern w:val="0"/>
          <w:sz w:val="20"/>
          <w:szCs w:val="20"/>
        </w:rPr>
        <w:t>impossib</w:t>
      </w:r>
      <w:r w:rsidR="00394F40" w:rsidRPr="00A23834">
        <w:rPr>
          <w:rFonts w:ascii="Tahoma" w:eastAsia="標楷體" w:hAnsi="Tahoma" w:cs="Tahoma"/>
          <w:kern w:val="0"/>
          <w:sz w:val="20"/>
          <w:szCs w:val="20"/>
        </w:rPr>
        <w:t>l</w:t>
      </w:r>
      <w:r w:rsidR="00054DC6" w:rsidRPr="00A23834">
        <w:rPr>
          <w:rFonts w:ascii="Tahoma" w:eastAsia="標楷體" w:hAnsi="Tahoma" w:cs="Tahoma"/>
          <w:kern w:val="0"/>
          <w:sz w:val="20"/>
          <w:szCs w:val="20"/>
        </w:rPr>
        <w:t>e to verify the identity of the beneficial owners, and/or to identify their place and date of birth, and/or to gather relevant i</w:t>
      </w:r>
      <w:r w:rsidR="00F5157B" w:rsidRPr="00A23834">
        <w:rPr>
          <w:rFonts w:ascii="Tahoma" w:eastAsia="標楷體" w:hAnsi="Tahoma" w:cs="Tahoma"/>
          <w:kern w:val="0"/>
          <w:sz w:val="20"/>
          <w:szCs w:val="20"/>
        </w:rPr>
        <w:t>nformation about their address.</w:t>
      </w:r>
    </w:p>
    <w:p w14:paraId="6E46F44A" w14:textId="113119C5" w:rsidR="00054DC6" w:rsidRPr="00A23834" w:rsidRDefault="003D0DCE" w:rsidP="00677C16">
      <w:pPr>
        <w:pStyle w:val="ListParagraph"/>
        <w:numPr>
          <w:ilvl w:val="2"/>
          <w:numId w:val="5"/>
        </w:numPr>
        <w:snapToGrid w:val="0"/>
        <w:spacing w:line="240" w:lineRule="exact"/>
        <w:ind w:leftChars="0"/>
        <w:jc w:val="both"/>
        <w:rPr>
          <w:rFonts w:ascii="Tahoma" w:eastAsia="標楷體" w:hAnsi="Tahoma" w:cs="Tahoma"/>
          <w:sz w:val="20"/>
          <w:szCs w:val="20"/>
        </w:rPr>
      </w:pPr>
      <w:r>
        <w:rPr>
          <w:rFonts w:ascii="Tahoma" w:eastAsia="標楷體" w:hAnsi="Tahoma" w:cs="Tahoma" w:hint="eastAsia"/>
          <w:kern w:val="0"/>
          <w:sz w:val="20"/>
          <w:szCs w:val="20"/>
        </w:rPr>
        <w:t>T</w:t>
      </w:r>
      <w:r w:rsidR="00054DC6" w:rsidRPr="00A23834">
        <w:rPr>
          <w:rFonts w:ascii="Tahoma" w:eastAsia="標楷體" w:hAnsi="Tahoma" w:cs="Tahoma"/>
          <w:kern w:val="0"/>
          <w:sz w:val="20"/>
          <w:szCs w:val="20"/>
        </w:rPr>
        <w:t xml:space="preserve">he customer is a non-resident of Belgium. </w:t>
      </w:r>
    </w:p>
    <w:p w14:paraId="5CBE68F9" w14:textId="23B65337" w:rsidR="001F6E7A" w:rsidRPr="00A23834" w:rsidRDefault="003D0DCE" w:rsidP="00677C16">
      <w:pPr>
        <w:pStyle w:val="ListParagraph"/>
        <w:numPr>
          <w:ilvl w:val="2"/>
          <w:numId w:val="5"/>
        </w:numPr>
        <w:snapToGrid w:val="0"/>
        <w:spacing w:line="240" w:lineRule="exact"/>
        <w:ind w:leftChars="0"/>
        <w:jc w:val="both"/>
        <w:rPr>
          <w:rFonts w:ascii="Tahoma" w:eastAsia="標楷體" w:hAnsi="Tahoma" w:cs="Tahoma"/>
          <w:sz w:val="20"/>
          <w:szCs w:val="20"/>
        </w:rPr>
      </w:pPr>
      <w:r>
        <w:rPr>
          <w:rFonts w:ascii="Verdana" w:hAnsi="Verdana"/>
          <w:sz w:val="20"/>
          <w:szCs w:val="20"/>
        </w:rPr>
        <w:t>T</w:t>
      </w:r>
      <w:r w:rsidR="001F6E7A" w:rsidRPr="00A23834">
        <w:rPr>
          <w:rFonts w:ascii="Verdana" w:hAnsi="Verdana"/>
          <w:sz w:val="20"/>
          <w:szCs w:val="20"/>
        </w:rPr>
        <w:t>ransactions related to petroleum, arms and precious metals.</w:t>
      </w:r>
    </w:p>
    <w:p w14:paraId="3316B34B" w14:textId="77777777" w:rsidR="00621829" w:rsidRPr="003D0DCE" w:rsidRDefault="00621829" w:rsidP="00677C16">
      <w:pPr>
        <w:pStyle w:val="ListParagraph"/>
        <w:snapToGrid w:val="0"/>
        <w:spacing w:line="240" w:lineRule="exact"/>
        <w:ind w:leftChars="0" w:left="964"/>
        <w:jc w:val="both"/>
        <w:rPr>
          <w:rFonts w:ascii="Tahoma" w:eastAsia="標楷體" w:hAnsi="Tahoma" w:cs="Tahoma"/>
          <w:sz w:val="20"/>
          <w:szCs w:val="20"/>
        </w:rPr>
      </w:pPr>
    </w:p>
    <w:p w14:paraId="08E91A31" w14:textId="77777777" w:rsidR="00D6430B" w:rsidRPr="00A23834" w:rsidRDefault="0037122C"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Customers </w:t>
      </w:r>
      <w:r w:rsidR="00D2795C" w:rsidRPr="00A23834">
        <w:rPr>
          <w:rFonts w:ascii="Tahoma" w:eastAsia="標楷體" w:hAnsi="Tahoma" w:cs="Tahoma"/>
          <w:sz w:val="20"/>
          <w:szCs w:val="20"/>
        </w:rPr>
        <w:t xml:space="preserve">or their beneficial owners, senior management </w:t>
      </w:r>
      <w:r w:rsidR="00921850" w:rsidRPr="00A23834">
        <w:rPr>
          <w:rFonts w:ascii="Tahoma" w:eastAsia="標楷體" w:hAnsi="Tahoma" w:cs="Tahoma"/>
          <w:sz w:val="20"/>
          <w:szCs w:val="20"/>
        </w:rPr>
        <w:t>who</w:t>
      </w:r>
      <w:r w:rsidR="00804197" w:rsidRPr="00A23834">
        <w:rPr>
          <w:rFonts w:ascii="Tahoma" w:eastAsia="標楷體" w:hAnsi="Tahoma" w:cs="Tahoma"/>
          <w:sz w:val="20"/>
          <w:szCs w:val="20"/>
        </w:rPr>
        <w:t xml:space="preserve"> were</w:t>
      </w:r>
      <w:r w:rsidR="00921850" w:rsidRPr="00A23834">
        <w:rPr>
          <w:rFonts w:ascii="Tahoma" w:eastAsia="標楷體" w:hAnsi="Tahoma" w:cs="Tahoma"/>
          <w:sz w:val="20"/>
          <w:szCs w:val="20"/>
        </w:rPr>
        <w:t xml:space="preserve"> </w:t>
      </w:r>
      <w:r w:rsidR="00804197" w:rsidRPr="00A23834">
        <w:rPr>
          <w:rFonts w:ascii="Tahoma" w:eastAsia="標楷體" w:hAnsi="Tahoma" w:cs="Tahoma"/>
          <w:sz w:val="20"/>
          <w:szCs w:val="20"/>
        </w:rPr>
        <w:t xml:space="preserve">used to be PEPs but have </w:t>
      </w:r>
      <w:r w:rsidRPr="00A23834">
        <w:rPr>
          <w:rFonts w:ascii="Tahoma" w:eastAsia="標楷體" w:hAnsi="Tahoma" w:cs="Tahoma"/>
          <w:sz w:val="20"/>
          <w:szCs w:val="20"/>
        </w:rPr>
        <w:t>left that posit</w:t>
      </w:r>
      <w:r w:rsidR="00921850" w:rsidRPr="00A23834">
        <w:rPr>
          <w:rFonts w:ascii="Tahoma" w:eastAsia="標楷體" w:hAnsi="Tahoma" w:cs="Tahoma"/>
          <w:sz w:val="20"/>
          <w:szCs w:val="20"/>
        </w:rPr>
        <w:t>i</w:t>
      </w:r>
      <w:r w:rsidRPr="00A23834">
        <w:rPr>
          <w:rFonts w:ascii="Tahoma" w:eastAsia="標楷體" w:hAnsi="Tahoma" w:cs="Tahoma"/>
          <w:sz w:val="20"/>
          <w:szCs w:val="20"/>
        </w:rPr>
        <w:t>on for more than 12 months will be classified into medium risk.</w:t>
      </w:r>
      <w:r w:rsidR="008A5B48" w:rsidRPr="00A23834">
        <w:rPr>
          <w:rFonts w:ascii="Tahoma" w:eastAsia="標楷體" w:hAnsi="Tahoma" w:cs="Tahoma"/>
          <w:sz w:val="20"/>
          <w:szCs w:val="20"/>
        </w:rPr>
        <w:t xml:space="preserve"> </w:t>
      </w:r>
      <w:r w:rsidR="00FD19CC" w:rsidRPr="00A23834">
        <w:rPr>
          <w:rFonts w:ascii="Tahoma" w:eastAsia="標楷體" w:hAnsi="Tahoma" w:cs="Tahoma"/>
          <w:sz w:val="20"/>
          <w:szCs w:val="20"/>
        </w:rPr>
        <w:t>But after assessing the risks based on the level of influence that the individual could still exercise, the seniority of the position that the individual held as a PEP, etc, the Bank shall classify the former PEP into “high risk” category.</w:t>
      </w:r>
    </w:p>
    <w:p w14:paraId="719E8A63" w14:textId="77777777" w:rsidR="00621829" w:rsidRPr="00A23834" w:rsidRDefault="00621829" w:rsidP="00677C16">
      <w:pPr>
        <w:pStyle w:val="ListParagraph"/>
        <w:snapToGrid w:val="0"/>
        <w:spacing w:line="240" w:lineRule="exact"/>
        <w:ind w:leftChars="0" w:left="482"/>
        <w:jc w:val="both"/>
        <w:rPr>
          <w:rFonts w:ascii="Tahoma" w:eastAsia="標楷體" w:hAnsi="Tahoma" w:cs="Tahoma"/>
          <w:sz w:val="20"/>
          <w:szCs w:val="20"/>
        </w:rPr>
      </w:pPr>
    </w:p>
    <w:p w14:paraId="6A2FE7D5" w14:textId="77777777" w:rsidR="00DE7BFA" w:rsidRPr="00A23834" w:rsidRDefault="00DE7BFA"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lang w:eastAsia="zh-HK"/>
        </w:rPr>
        <w:t xml:space="preserve">Review frequency related to the </w:t>
      </w:r>
      <w:r w:rsidRPr="00A23834">
        <w:rPr>
          <w:rFonts w:ascii="Tahoma" w:eastAsia="標楷體" w:hAnsi="Tahoma" w:cs="Tahoma"/>
          <w:sz w:val="20"/>
          <w:szCs w:val="20"/>
        </w:rPr>
        <w:t>customers’ risk profile</w:t>
      </w:r>
      <w:r w:rsidR="001C7568" w:rsidRPr="00A23834">
        <w:rPr>
          <w:rFonts w:ascii="Tahoma" w:eastAsia="標楷體" w:hAnsi="Tahoma" w:cs="Tahoma"/>
          <w:sz w:val="20"/>
          <w:szCs w:val="20"/>
        </w:rPr>
        <w:t xml:space="preserve"> are</w:t>
      </w:r>
      <w:r w:rsidRPr="00A23834">
        <w:rPr>
          <w:rFonts w:ascii="Tahoma" w:eastAsia="標楷體" w:hAnsi="Tahoma" w:cs="Tahoma"/>
          <w:sz w:val="20"/>
          <w:szCs w:val="20"/>
        </w:rPr>
        <w:t xml:space="preserve"> classified as below:</w:t>
      </w:r>
    </w:p>
    <w:p w14:paraId="4ADDB790" w14:textId="77777777" w:rsidR="00DE7BFA" w:rsidRPr="00A23834" w:rsidRDefault="00DE7BFA"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For category of “high risk profile”, their risk profile</w:t>
      </w:r>
      <w:r w:rsidR="001C7568" w:rsidRPr="00A23834">
        <w:rPr>
          <w:rFonts w:ascii="Tahoma" w:eastAsia="標楷體" w:hAnsi="Tahoma" w:cs="Tahoma"/>
          <w:sz w:val="20"/>
          <w:szCs w:val="20"/>
        </w:rPr>
        <w:t>s</w:t>
      </w:r>
      <w:r w:rsidRPr="00A23834">
        <w:rPr>
          <w:rFonts w:ascii="Tahoma" w:eastAsia="標楷體" w:hAnsi="Tahoma" w:cs="Tahoma"/>
          <w:sz w:val="20"/>
          <w:szCs w:val="20"/>
        </w:rPr>
        <w:t xml:space="preserve"> should be reviewed at least </w:t>
      </w:r>
      <w:r w:rsidRPr="00A23834">
        <w:rPr>
          <w:rFonts w:ascii="Tahoma" w:eastAsia="標楷體" w:hAnsi="Tahoma" w:cs="Tahoma"/>
          <w:sz w:val="20"/>
          <w:szCs w:val="20"/>
          <w:lang w:eastAsia="zh-HK"/>
        </w:rPr>
        <w:t>once a</w:t>
      </w:r>
      <w:r w:rsidRPr="00A23834">
        <w:rPr>
          <w:rFonts w:ascii="Tahoma" w:eastAsia="標楷體" w:hAnsi="Tahoma" w:cs="Tahoma"/>
          <w:sz w:val="20"/>
          <w:szCs w:val="20"/>
        </w:rPr>
        <w:t xml:space="preserve"> year.</w:t>
      </w:r>
    </w:p>
    <w:p w14:paraId="36D7D958" w14:textId="77777777" w:rsidR="00DE7BFA" w:rsidRPr="00A23834" w:rsidRDefault="00DE7BFA"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For category of “medium risk profile”, their risk profile</w:t>
      </w:r>
      <w:r w:rsidR="001C7568" w:rsidRPr="00A23834">
        <w:rPr>
          <w:rFonts w:ascii="Tahoma" w:eastAsia="標楷體" w:hAnsi="Tahoma" w:cs="Tahoma"/>
          <w:sz w:val="20"/>
          <w:szCs w:val="20"/>
        </w:rPr>
        <w:t>s</w:t>
      </w:r>
      <w:r w:rsidRPr="00A23834">
        <w:rPr>
          <w:rFonts w:ascii="Tahoma" w:eastAsia="標楷體" w:hAnsi="Tahoma" w:cs="Tahoma"/>
          <w:sz w:val="20"/>
          <w:szCs w:val="20"/>
        </w:rPr>
        <w:t xml:space="preserve"> should be reviewed at least every </w:t>
      </w:r>
      <w:r w:rsidR="00242105" w:rsidRPr="00A23834">
        <w:rPr>
          <w:rFonts w:ascii="Tahoma" w:eastAsia="標楷體" w:hAnsi="Tahoma" w:cs="Tahoma"/>
          <w:sz w:val="20"/>
          <w:szCs w:val="20"/>
          <w:lang w:eastAsia="zh-HK"/>
        </w:rPr>
        <w:t>two</w:t>
      </w:r>
      <w:r w:rsidRPr="00A23834">
        <w:rPr>
          <w:rFonts w:ascii="Tahoma" w:eastAsia="標楷體" w:hAnsi="Tahoma" w:cs="Tahoma"/>
          <w:sz w:val="20"/>
          <w:szCs w:val="20"/>
        </w:rPr>
        <w:t xml:space="preserve"> years.</w:t>
      </w:r>
    </w:p>
    <w:p w14:paraId="11B9CA21" w14:textId="77777777" w:rsidR="00DE7BFA" w:rsidRPr="00A23834" w:rsidRDefault="00DE7BFA"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For category of “low risk profile”, their risk profile</w:t>
      </w:r>
      <w:r w:rsidR="001C7568" w:rsidRPr="00A23834">
        <w:rPr>
          <w:rFonts w:ascii="Tahoma" w:eastAsia="標楷體" w:hAnsi="Tahoma" w:cs="Tahoma"/>
          <w:sz w:val="20"/>
          <w:szCs w:val="20"/>
        </w:rPr>
        <w:t>s</w:t>
      </w:r>
      <w:r w:rsidRPr="00A23834">
        <w:rPr>
          <w:rFonts w:ascii="Tahoma" w:eastAsia="標楷體" w:hAnsi="Tahoma" w:cs="Tahoma"/>
          <w:sz w:val="20"/>
          <w:szCs w:val="20"/>
        </w:rPr>
        <w:t xml:space="preserve"> should be reviewed at least every </w:t>
      </w:r>
      <w:r w:rsidR="00242105" w:rsidRPr="00A23834">
        <w:rPr>
          <w:rFonts w:ascii="Tahoma" w:eastAsia="標楷體" w:hAnsi="Tahoma" w:cs="Tahoma"/>
          <w:sz w:val="20"/>
          <w:szCs w:val="20"/>
        </w:rPr>
        <w:t>three</w:t>
      </w:r>
      <w:r w:rsidRPr="00A23834">
        <w:rPr>
          <w:rFonts w:ascii="Tahoma" w:eastAsia="標楷體" w:hAnsi="Tahoma" w:cs="Tahoma"/>
          <w:sz w:val="20"/>
          <w:szCs w:val="20"/>
        </w:rPr>
        <w:t xml:space="preserve"> years.</w:t>
      </w:r>
    </w:p>
    <w:p w14:paraId="1F8C2091" w14:textId="77777777" w:rsidR="00621829" w:rsidRPr="00A23834" w:rsidRDefault="00621829" w:rsidP="00677C16">
      <w:pPr>
        <w:pStyle w:val="ListParagraph"/>
        <w:snapToGrid w:val="0"/>
        <w:spacing w:line="240" w:lineRule="exact"/>
        <w:ind w:leftChars="0" w:left="964"/>
        <w:jc w:val="both"/>
        <w:rPr>
          <w:rFonts w:ascii="Tahoma" w:eastAsia="標楷體" w:hAnsi="Tahoma" w:cs="Tahoma"/>
          <w:sz w:val="20"/>
          <w:szCs w:val="20"/>
        </w:rPr>
      </w:pPr>
    </w:p>
    <w:p w14:paraId="2F36D5AE" w14:textId="75B4B3AD" w:rsidR="00621829" w:rsidRPr="00A23834" w:rsidRDefault="001F6E7A" w:rsidP="001F6E7A">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sz w:val="20"/>
          <w:szCs w:val="20"/>
          <w:lang w:eastAsia="zh-HK"/>
        </w:rPr>
        <w:t>In order to be able to properly evaluate the AML/CFT Risk on Nostro/Vostro correspondent banking relationships, a special, separate assessment table and procedures can be set by applying risk based approach for the business nature of this kind.</w:t>
      </w:r>
    </w:p>
    <w:p w14:paraId="65B04CD9" w14:textId="77777777" w:rsidR="00621829" w:rsidRPr="00A23834" w:rsidRDefault="00621829" w:rsidP="00677C16">
      <w:pPr>
        <w:pStyle w:val="ListParagraph"/>
        <w:snapToGrid w:val="0"/>
        <w:spacing w:line="240" w:lineRule="exact"/>
        <w:ind w:leftChars="0" w:left="964"/>
        <w:jc w:val="both"/>
        <w:rPr>
          <w:rFonts w:ascii="Tahoma" w:eastAsia="標楷體" w:hAnsi="Tahoma" w:cs="Tahoma"/>
          <w:sz w:val="20"/>
          <w:szCs w:val="20"/>
        </w:rPr>
      </w:pPr>
    </w:p>
    <w:p w14:paraId="6F2DCFD4" w14:textId="77777777" w:rsidR="00A0687D" w:rsidRPr="00A23834" w:rsidRDefault="009F7FBE" w:rsidP="00E25E8A">
      <w:pPr>
        <w:pStyle w:val="Heading1"/>
        <w:rPr>
          <w:rFonts w:ascii="Tahoma" w:eastAsia="標楷體" w:hAnsi="Tahoma" w:cs="Tahoma"/>
          <w:b/>
          <w:color w:val="auto"/>
          <w:sz w:val="24"/>
          <w:szCs w:val="24"/>
        </w:rPr>
      </w:pPr>
      <w:bookmarkStart w:id="28" w:name="_Toc142480926"/>
      <w:bookmarkStart w:id="29" w:name="_Toc142484955"/>
      <w:r w:rsidRPr="00A23834">
        <w:rPr>
          <w:rFonts w:ascii="Tahoma" w:eastAsia="標楷體" w:hAnsi="Tahoma" w:cs="Tahoma"/>
          <w:b/>
          <w:color w:val="auto"/>
          <w:sz w:val="24"/>
          <w:szCs w:val="24"/>
        </w:rPr>
        <w:t xml:space="preserve">Chapter Three- </w:t>
      </w:r>
      <w:r w:rsidR="0068674B" w:rsidRPr="00A23834">
        <w:rPr>
          <w:rFonts w:ascii="Tahoma" w:eastAsia="標楷體" w:hAnsi="Tahoma" w:cs="Tahoma"/>
          <w:b/>
          <w:color w:val="auto"/>
          <w:sz w:val="24"/>
          <w:szCs w:val="24"/>
          <w:lang w:eastAsia="zh-HK"/>
        </w:rPr>
        <w:t>Identification and Verification of Customer Identity</w:t>
      </w:r>
      <w:bookmarkEnd w:id="28"/>
      <w:bookmarkEnd w:id="29"/>
    </w:p>
    <w:p w14:paraId="4B8AE69C" w14:textId="3D9DDDEF" w:rsidR="009F7FBE" w:rsidRPr="00A23834" w:rsidRDefault="00C723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bookmarkStart w:id="30" w:name="_Toc142480927"/>
      <w:bookmarkStart w:id="31" w:name="_Toc142484956"/>
      <w:r>
        <w:rPr>
          <w:rFonts w:ascii="Tahoma" w:eastAsia="標楷體" w:hAnsi="Tahoma" w:cs="Tahoma"/>
          <w:sz w:val="20"/>
          <w:szCs w:val="20"/>
        </w:rPr>
        <w:t>Timing to conduct CDD</w:t>
      </w:r>
      <w:bookmarkEnd w:id="30"/>
      <w:bookmarkEnd w:id="31"/>
    </w:p>
    <w:p w14:paraId="2ABDCC69" w14:textId="77777777" w:rsidR="00621829" w:rsidRPr="00A23834" w:rsidRDefault="00621829" w:rsidP="00677C16">
      <w:pPr>
        <w:snapToGrid w:val="0"/>
        <w:spacing w:line="240" w:lineRule="exact"/>
        <w:jc w:val="both"/>
        <w:rPr>
          <w:rFonts w:ascii="Tahoma" w:eastAsia="標楷體" w:hAnsi="Tahoma" w:cs="Tahoma"/>
          <w:sz w:val="20"/>
          <w:szCs w:val="20"/>
          <w:lang w:eastAsia="zh-HK"/>
        </w:rPr>
      </w:pPr>
    </w:p>
    <w:p w14:paraId="4E579489" w14:textId="77777777" w:rsidR="00A0687D" w:rsidRPr="00A23834" w:rsidRDefault="0068674B" w:rsidP="00677C16">
      <w:pPr>
        <w:snapToGrid w:val="0"/>
        <w:spacing w:line="240" w:lineRule="exact"/>
        <w:jc w:val="both"/>
        <w:rPr>
          <w:rFonts w:ascii="Tahoma" w:eastAsia="標楷體" w:hAnsi="Tahoma" w:cs="Tahoma"/>
          <w:sz w:val="20"/>
          <w:szCs w:val="20"/>
        </w:rPr>
      </w:pPr>
      <w:r w:rsidRPr="00A23834">
        <w:rPr>
          <w:rFonts w:ascii="Tahoma" w:eastAsia="標楷體" w:hAnsi="Tahoma" w:cs="Tahoma"/>
          <w:sz w:val="20"/>
          <w:szCs w:val="20"/>
          <w:lang w:eastAsia="zh-HK"/>
        </w:rPr>
        <w:t>The Bank sh</w:t>
      </w:r>
      <w:r w:rsidR="00347C37" w:rsidRPr="00A23834">
        <w:rPr>
          <w:rFonts w:ascii="Tahoma" w:eastAsia="標楷體" w:hAnsi="Tahoma" w:cs="Tahoma"/>
          <w:sz w:val="20"/>
          <w:szCs w:val="20"/>
          <w:lang w:eastAsia="zh-HK"/>
        </w:rPr>
        <w:t>ould</w:t>
      </w:r>
      <w:r w:rsidRPr="00A23834">
        <w:rPr>
          <w:rFonts w:ascii="Tahoma" w:eastAsia="標楷體" w:hAnsi="Tahoma" w:cs="Tahoma"/>
          <w:sz w:val="20"/>
          <w:szCs w:val="20"/>
          <w:lang w:eastAsia="zh-HK"/>
        </w:rPr>
        <w:t xml:space="preserve"> </w:t>
      </w:r>
      <w:r w:rsidR="0080480B" w:rsidRPr="00A23834">
        <w:rPr>
          <w:rFonts w:ascii="Tahoma" w:eastAsia="標楷體" w:hAnsi="Tahoma" w:cs="Tahoma"/>
          <w:sz w:val="20"/>
          <w:szCs w:val="20"/>
          <w:lang w:eastAsia="zh-HK"/>
        </w:rPr>
        <w:t>undertake customer due diligence measure</w:t>
      </w:r>
      <w:r w:rsidR="00C243D0" w:rsidRPr="00A23834">
        <w:rPr>
          <w:rFonts w:ascii="Tahoma" w:eastAsia="標楷體" w:hAnsi="Tahoma" w:cs="Tahoma"/>
          <w:sz w:val="20"/>
          <w:szCs w:val="20"/>
          <w:lang w:eastAsia="zh-HK"/>
        </w:rPr>
        <w:t>s</w:t>
      </w:r>
      <w:r w:rsidR="0080480B" w:rsidRPr="00A23834">
        <w:rPr>
          <w:rFonts w:ascii="Tahoma" w:eastAsia="標楷體" w:hAnsi="Tahoma" w:cs="Tahoma"/>
          <w:sz w:val="20"/>
          <w:szCs w:val="20"/>
          <w:lang w:eastAsia="zh-HK"/>
        </w:rPr>
        <w:t xml:space="preserve"> when</w:t>
      </w:r>
      <w:r w:rsidRPr="00A23834">
        <w:rPr>
          <w:rFonts w:ascii="Tahoma" w:eastAsia="標楷體" w:hAnsi="Tahoma" w:cs="Tahoma"/>
          <w:sz w:val="20"/>
          <w:szCs w:val="20"/>
          <w:lang w:eastAsia="zh-HK"/>
        </w:rPr>
        <w:t>:</w:t>
      </w:r>
    </w:p>
    <w:p w14:paraId="10EA350C" w14:textId="39CA7F24" w:rsidR="009F7FBE" w:rsidRPr="00A23834" w:rsidRDefault="003D0DCE" w:rsidP="00677C16">
      <w:pPr>
        <w:pStyle w:val="ListParagraph"/>
        <w:numPr>
          <w:ilvl w:val="1"/>
          <w:numId w:val="5"/>
        </w:numPr>
        <w:snapToGrid w:val="0"/>
        <w:spacing w:line="240" w:lineRule="exact"/>
        <w:ind w:leftChars="0"/>
        <w:jc w:val="both"/>
        <w:rPr>
          <w:rFonts w:ascii="Tahoma" w:eastAsia="標楷體" w:hAnsi="Tahoma" w:cs="Tahoma"/>
          <w:sz w:val="20"/>
          <w:szCs w:val="20"/>
        </w:rPr>
      </w:pPr>
      <w:r>
        <w:rPr>
          <w:rFonts w:ascii="Tahoma" w:eastAsia="標楷體" w:hAnsi="Tahoma" w:cs="Tahoma"/>
          <w:sz w:val="20"/>
          <w:szCs w:val="20"/>
        </w:rPr>
        <w:t>E</w:t>
      </w:r>
      <w:r w:rsidR="00BA1D70" w:rsidRPr="00A23834">
        <w:rPr>
          <w:rFonts w:ascii="Tahoma" w:eastAsia="標楷體" w:hAnsi="Tahoma" w:cs="Tahoma"/>
          <w:sz w:val="20"/>
          <w:szCs w:val="20"/>
        </w:rPr>
        <w:t>stablishing business relationship;</w:t>
      </w:r>
    </w:p>
    <w:p w14:paraId="0401C8B5" w14:textId="287C51BC" w:rsidR="009F7FBE" w:rsidRPr="00A23834" w:rsidRDefault="003D0DCE" w:rsidP="00677C16">
      <w:pPr>
        <w:pStyle w:val="ListParagraph"/>
        <w:numPr>
          <w:ilvl w:val="1"/>
          <w:numId w:val="5"/>
        </w:numPr>
        <w:snapToGrid w:val="0"/>
        <w:spacing w:line="240" w:lineRule="exact"/>
        <w:ind w:leftChars="0"/>
        <w:jc w:val="both"/>
        <w:rPr>
          <w:rFonts w:ascii="Tahoma" w:eastAsia="標楷體" w:hAnsi="Tahoma" w:cs="Tahoma"/>
          <w:sz w:val="20"/>
          <w:szCs w:val="20"/>
        </w:rPr>
      </w:pPr>
      <w:r>
        <w:rPr>
          <w:rFonts w:ascii="Tahoma" w:eastAsia="標楷體" w:hAnsi="Tahoma" w:cs="Tahoma"/>
          <w:sz w:val="20"/>
          <w:szCs w:val="20"/>
        </w:rPr>
        <w:t>C</w:t>
      </w:r>
      <w:r w:rsidR="00BA1D70" w:rsidRPr="00A23834">
        <w:rPr>
          <w:rFonts w:ascii="Tahoma" w:eastAsia="標楷體" w:hAnsi="Tahoma" w:cs="Tahoma"/>
          <w:sz w:val="20"/>
          <w:szCs w:val="20"/>
        </w:rPr>
        <w:t xml:space="preserve">arrying out an </w:t>
      </w:r>
      <w:r w:rsidR="001F6E7A" w:rsidRPr="00A23834">
        <w:rPr>
          <w:rFonts w:ascii="Tahoma" w:eastAsia="標楷體" w:hAnsi="Tahoma" w:cs="Tahoma"/>
          <w:sz w:val="20"/>
          <w:szCs w:val="20"/>
        </w:rPr>
        <w:t xml:space="preserve">occasional </w:t>
      </w:r>
      <w:r w:rsidR="00BA1D70" w:rsidRPr="00A23834">
        <w:rPr>
          <w:rFonts w:ascii="Tahoma" w:eastAsia="標楷體" w:hAnsi="Tahoma" w:cs="Tahoma"/>
          <w:sz w:val="20"/>
          <w:szCs w:val="20"/>
        </w:rPr>
        <w:t>transaction that amounts to EUR 10 000 or more, whether that transaction is carried out in a single operation or in several operations which appear to be linked;</w:t>
      </w:r>
    </w:p>
    <w:p w14:paraId="537D75D5" w14:textId="445861FA" w:rsidR="00BA1D70" w:rsidRPr="00A23834" w:rsidRDefault="003D0DCE" w:rsidP="00677C16">
      <w:pPr>
        <w:pStyle w:val="ListParagraph"/>
        <w:numPr>
          <w:ilvl w:val="1"/>
          <w:numId w:val="5"/>
        </w:numPr>
        <w:snapToGrid w:val="0"/>
        <w:spacing w:line="240" w:lineRule="exact"/>
        <w:ind w:leftChars="0"/>
        <w:jc w:val="both"/>
        <w:rPr>
          <w:rFonts w:ascii="Tahoma" w:eastAsia="標楷體" w:hAnsi="Tahoma" w:cs="Tahoma"/>
          <w:sz w:val="20"/>
          <w:szCs w:val="20"/>
        </w:rPr>
      </w:pPr>
      <w:r>
        <w:rPr>
          <w:rFonts w:ascii="Tahoma" w:eastAsia="標楷體" w:hAnsi="Tahoma" w:cs="Tahoma"/>
          <w:sz w:val="20"/>
          <w:szCs w:val="20"/>
        </w:rPr>
        <w:t>T</w:t>
      </w:r>
      <w:r w:rsidR="00BA1D70" w:rsidRPr="00A23834">
        <w:rPr>
          <w:rFonts w:ascii="Tahoma" w:eastAsia="標楷體" w:hAnsi="Tahoma" w:cs="Tahoma"/>
          <w:sz w:val="20"/>
          <w:szCs w:val="20"/>
        </w:rPr>
        <w:t>here is a suspicion of money laundering or terrorist financing;</w:t>
      </w:r>
    </w:p>
    <w:p w14:paraId="0F1E616C" w14:textId="0DB39501" w:rsidR="00BA1D70" w:rsidRPr="00A23834" w:rsidRDefault="003D0DCE" w:rsidP="00677C16">
      <w:pPr>
        <w:pStyle w:val="ListParagraph"/>
        <w:numPr>
          <w:ilvl w:val="1"/>
          <w:numId w:val="5"/>
        </w:numPr>
        <w:snapToGrid w:val="0"/>
        <w:spacing w:line="240" w:lineRule="exact"/>
        <w:ind w:leftChars="0"/>
        <w:jc w:val="both"/>
        <w:rPr>
          <w:rFonts w:ascii="Tahoma" w:eastAsia="標楷體" w:hAnsi="Tahoma" w:cs="Tahoma"/>
          <w:sz w:val="20"/>
          <w:szCs w:val="20"/>
        </w:rPr>
      </w:pPr>
      <w:r>
        <w:rPr>
          <w:rFonts w:ascii="Tahoma" w:eastAsia="標楷體" w:hAnsi="Tahoma" w:cs="Tahoma"/>
          <w:sz w:val="20"/>
          <w:szCs w:val="20"/>
        </w:rPr>
        <w:t>T</w:t>
      </w:r>
      <w:r w:rsidR="00BA1D70" w:rsidRPr="00A23834">
        <w:rPr>
          <w:rFonts w:ascii="Tahoma" w:eastAsia="標楷體" w:hAnsi="Tahoma" w:cs="Tahoma"/>
          <w:sz w:val="20"/>
          <w:szCs w:val="20"/>
        </w:rPr>
        <w:t>here are doubts about the veracity or adequacy of previously obtai</w:t>
      </w:r>
      <w:r w:rsidR="007536B1" w:rsidRPr="00A23834">
        <w:rPr>
          <w:rFonts w:ascii="Tahoma" w:eastAsia="標楷體" w:hAnsi="Tahoma" w:cs="Tahoma"/>
          <w:sz w:val="20"/>
          <w:szCs w:val="20"/>
        </w:rPr>
        <w:t xml:space="preserve">ned customer identification </w:t>
      </w:r>
      <w:r w:rsidR="007536B1" w:rsidRPr="00A23834">
        <w:rPr>
          <w:rFonts w:ascii="Tahoma" w:eastAsia="標楷體" w:hAnsi="Tahoma" w:cs="Tahoma"/>
          <w:sz w:val="20"/>
          <w:szCs w:val="20"/>
        </w:rPr>
        <w:lastRenderedPageBreak/>
        <w:t>documents</w:t>
      </w:r>
      <w:r w:rsidR="00BA1D70" w:rsidRPr="00A23834">
        <w:rPr>
          <w:rFonts w:ascii="Tahoma" w:eastAsia="標楷體" w:hAnsi="Tahoma" w:cs="Tahoma"/>
          <w:sz w:val="20"/>
          <w:szCs w:val="20"/>
        </w:rPr>
        <w:t>.</w:t>
      </w:r>
    </w:p>
    <w:p w14:paraId="2E235E5B" w14:textId="2F64807B" w:rsidR="001F6E7A" w:rsidRPr="00A23834" w:rsidRDefault="001F6E7A" w:rsidP="001F6E7A">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There is doubt that a person, within the framework of a business relationship, is in fact the client with whom there is a business relationship or his</w:t>
      </w:r>
      <w:r w:rsidR="006229C6">
        <w:rPr>
          <w:rFonts w:ascii="Tahoma" w:eastAsia="標楷體" w:hAnsi="Tahoma" w:cs="Tahoma"/>
          <w:sz w:val="20"/>
          <w:szCs w:val="20"/>
        </w:rPr>
        <w:t>/her</w:t>
      </w:r>
      <w:r w:rsidRPr="00A23834">
        <w:rPr>
          <w:rFonts w:ascii="Tahoma" w:eastAsia="標楷體" w:hAnsi="Tahoma" w:cs="Tahoma"/>
          <w:sz w:val="20"/>
          <w:szCs w:val="20"/>
        </w:rPr>
        <w:t xml:space="preserve"> authorized and identified proxy.</w:t>
      </w:r>
    </w:p>
    <w:p w14:paraId="7AAF3223" w14:textId="77777777" w:rsidR="001F6E7A" w:rsidRPr="00A23834" w:rsidRDefault="001F6E7A" w:rsidP="001F6E7A">
      <w:pPr>
        <w:pStyle w:val="ListParagraph"/>
        <w:snapToGrid w:val="0"/>
        <w:spacing w:line="240" w:lineRule="exact"/>
        <w:ind w:leftChars="0" w:left="482"/>
        <w:jc w:val="both"/>
        <w:rPr>
          <w:rFonts w:ascii="Tahoma" w:eastAsia="標楷體" w:hAnsi="Tahoma" w:cs="Tahoma"/>
          <w:sz w:val="20"/>
          <w:szCs w:val="20"/>
        </w:rPr>
      </w:pPr>
    </w:p>
    <w:p w14:paraId="1B8C1513" w14:textId="1E96CB50" w:rsidR="009F7FBE" w:rsidRPr="00A23834" w:rsidRDefault="00C723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bookmarkStart w:id="32" w:name="_Toc142480928"/>
      <w:bookmarkStart w:id="33" w:name="_Toc142484957"/>
      <w:r>
        <w:rPr>
          <w:rFonts w:ascii="Tahoma" w:eastAsia="標楷體" w:hAnsi="Tahoma" w:cs="Tahoma"/>
          <w:sz w:val="20"/>
          <w:szCs w:val="20"/>
        </w:rPr>
        <w:t>Contents of CDD</w:t>
      </w:r>
      <w:bookmarkEnd w:id="32"/>
      <w:bookmarkEnd w:id="33"/>
    </w:p>
    <w:p w14:paraId="68112D27" w14:textId="77777777" w:rsidR="00621829" w:rsidRPr="00A23834" w:rsidRDefault="00621829" w:rsidP="00677C16">
      <w:pPr>
        <w:snapToGrid w:val="0"/>
        <w:spacing w:line="240" w:lineRule="exact"/>
        <w:jc w:val="both"/>
        <w:rPr>
          <w:rFonts w:ascii="Tahoma" w:eastAsia="標楷體" w:hAnsi="Tahoma" w:cs="Tahoma"/>
          <w:sz w:val="20"/>
          <w:szCs w:val="20"/>
        </w:rPr>
      </w:pPr>
    </w:p>
    <w:p w14:paraId="75FE144C" w14:textId="0BAB5434" w:rsidR="009F7FBE" w:rsidRDefault="00BA1D70" w:rsidP="00677C16">
      <w:pPr>
        <w:snapToGrid w:val="0"/>
        <w:spacing w:line="240" w:lineRule="exact"/>
        <w:jc w:val="both"/>
        <w:rPr>
          <w:rFonts w:ascii="Tahoma" w:eastAsia="標楷體" w:hAnsi="Tahoma" w:cs="Tahoma"/>
          <w:sz w:val="20"/>
          <w:szCs w:val="20"/>
        </w:rPr>
      </w:pPr>
      <w:r w:rsidRPr="00A23834">
        <w:rPr>
          <w:rFonts w:ascii="Tahoma" w:eastAsia="標楷體" w:hAnsi="Tahoma" w:cs="Tahoma"/>
          <w:sz w:val="20"/>
          <w:szCs w:val="20"/>
        </w:rPr>
        <w:t>T</w:t>
      </w:r>
      <w:r w:rsidRPr="00A23834">
        <w:rPr>
          <w:rFonts w:ascii="Tahoma" w:eastAsia="標楷體" w:hAnsi="Tahoma" w:cs="Tahoma"/>
          <w:sz w:val="20"/>
          <w:szCs w:val="20"/>
          <w:lang w:eastAsia="zh-HK"/>
        </w:rPr>
        <w:t xml:space="preserve">he implementation of </w:t>
      </w:r>
      <w:r w:rsidR="00ED2A75" w:rsidRPr="00A23834">
        <w:rPr>
          <w:rFonts w:ascii="Tahoma" w:eastAsia="標楷體" w:hAnsi="Tahoma" w:cs="Tahoma"/>
          <w:sz w:val="20"/>
          <w:szCs w:val="20"/>
        </w:rPr>
        <w:t>c</w:t>
      </w:r>
      <w:r w:rsidRPr="00A23834">
        <w:rPr>
          <w:rFonts w:ascii="Tahoma" w:eastAsia="標楷體" w:hAnsi="Tahoma" w:cs="Tahoma"/>
          <w:sz w:val="20"/>
          <w:szCs w:val="20"/>
        </w:rPr>
        <w:t>ustomer due diligence measures shall comprise:</w:t>
      </w:r>
    </w:p>
    <w:p w14:paraId="46CA0942" w14:textId="77777777" w:rsidR="003D0DCE" w:rsidRPr="00A23834" w:rsidRDefault="003D0DCE" w:rsidP="00677C16">
      <w:pPr>
        <w:snapToGrid w:val="0"/>
        <w:spacing w:line="240" w:lineRule="exact"/>
        <w:jc w:val="both"/>
        <w:rPr>
          <w:rFonts w:ascii="Tahoma" w:eastAsia="標楷體" w:hAnsi="Tahoma" w:cs="Tahoma"/>
          <w:sz w:val="20"/>
          <w:szCs w:val="20"/>
        </w:rPr>
      </w:pPr>
    </w:p>
    <w:p w14:paraId="2F5D8D5D" w14:textId="3D681165" w:rsidR="00BA1D70" w:rsidRPr="00A23834" w:rsidRDefault="003D0DCE" w:rsidP="00677C16">
      <w:pPr>
        <w:pStyle w:val="ListParagraph"/>
        <w:numPr>
          <w:ilvl w:val="1"/>
          <w:numId w:val="5"/>
        </w:numPr>
        <w:snapToGrid w:val="0"/>
        <w:spacing w:line="240" w:lineRule="exact"/>
        <w:ind w:leftChars="0"/>
        <w:jc w:val="both"/>
        <w:rPr>
          <w:rFonts w:ascii="Tahoma" w:eastAsia="標楷體" w:hAnsi="Tahoma" w:cs="Tahoma"/>
          <w:sz w:val="20"/>
          <w:szCs w:val="20"/>
        </w:rPr>
      </w:pPr>
      <w:r>
        <w:rPr>
          <w:rFonts w:ascii="Tahoma" w:eastAsia="標楷體" w:hAnsi="Tahoma" w:cs="Tahoma"/>
          <w:sz w:val="20"/>
          <w:szCs w:val="20"/>
        </w:rPr>
        <w:t>I</w:t>
      </w:r>
      <w:r w:rsidR="00BA1D70" w:rsidRPr="00A23834">
        <w:rPr>
          <w:rFonts w:ascii="Tahoma" w:eastAsia="標楷體" w:hAnsi="Tahoma" w:cs="Tahoma"/>
          <w:sz w:val="20"/>
          <w:szCs w:val="20"/>
        </w:rPr>
        <w:t>dentifying the customer and verifying the customer's identity on the basis of documents, data or information obtained from a reliable and independent source;</w:t>
      </w:r>
    </w:p>
    <w:p w14:paraId="3304F60A" w14:textId="3F0BC8DC" w:rsidR="00621829" w:rsidRPr="00A23834" w:rsidRDefault="00621829" w:rsidP="00677C16">
      <w:pPr>
        <w:pStyle w:val="ListParagraph"/>
        <w:snapToGrid w:val="0"/>
        <w:spacing w:line="240" w:lineRule="exact"/>
        <w:ind w:leftChars="0" w:left="482"/>
        <w:jc w:val="both"/>
        <w:rPr>
          <w:rFonts w:ascii="Tahoma" w:eastAsia="標楷體" w:hAnsi="Tahoma" w:cs="Tahoma"/>
          <w:sz w:val="20"/>
          <w:szCs w:val="20"/>
        </w:rPr>
      </w:pPr>
    </w:p>
    <w:p w14:paraId="605F9B86" w14:textId="5C7014D9" w:rsidR="00D353CF" w:rsidRPr="00A23834" w:rsidRDefault="003D0DCE" w:rsidP="00677C16">
      <w:pPr>
        <w:pStyle w:val="ListParagraph"/>
        <w:numPr>
          <w:ilvl w:val="1"/>
          <w:numId w:val="5"/>
        </w:numPr>
        <w:snapToGrid w:val="0"/>
        <w:spacing w:line="240" w:lineRule="exact"/>
        <w:ind w:leftChars="0"/>
        <w:jc w:val="both"/>
        <w:rPr>
          <w:rFonts w:ascii="Tahoma" w:eastAsia="標楷體" w:hAnsi="Tahoma" w:cs="Tahoma"/>
          <w:sz w:val="20"/>
          <w:szCs w:val="20"/>
        </w:rPr>
      </w:pPr>
      <w:r>
        <w:rPr>
          <w:rFonts w:ascii="Tahoma" w:eastAsia="標楷體" w:hAnsi="Tahoma" w:cs="Tahoma"/>
          <w:sz w:val="20"/>
          <w:szCs w:val="20"/>
        </w:rPr>
        <w:t>I</w:t>
      </w:r>
      <w:r w:rsidR="00AC022B" w:rsidRPr="00A23834">
        <w:rPr>
          <w:rFonts w:ascii="Tahoma" w:eastAsia="標楷體" w:hAnsi="Tahoma" w:cs="Tahoma"/>
          <w:sz w:val="20"/>
          <w:szCs w:val="20"/>
        </w:rPr>
        <w:t>nvestigating</w:t>
      </w:r>
      <w:r w:rsidR="002431D0" w:rsidRPr="00A23834">
        <w:rPr>
          <w:rFonts w:ascii="Tahoma" w:eastAsia="標楷體" w:hAnsi="Tahoma" w:cs="Tahoma"/>
          <w:sz w:val="20"/>
          <w:szCs w:val="20"/>
        </w:rPr>
        <w:t xml:space="preserve"> the</w:t>
      </w:r>
      <w:r w:rsidR="00AC022B" w:rsidRPr="00A23834">
        <w:rPr>
          <w:rFonts w:ascii="Tahoma" w:eastAsia="標楷體" w:hAnsi="Tahoma" w:cs="Tahoma"/>
          <w:sz w:val="20"/>
          <w:szCs w:val="20"/>
        </w:rPr>
        <w:t xml:space="preserve"> </w:t>
      </w:r>
      <w:r w:rsidR="002431D0" w:rsidRPr="00A23834">
        <w:rPr>
          <w:rFonts w:ascii="Tahoma" w:eastAsia="標楷體" w:hAnsi="Tahoma" w:cs="Tahoma"/>
          <w:sz w:val="20"/>
          <w:szCs w:val="20"/>
        </w:rPr>
        <w:t>p</w:t>
      </w:r>
      <w:r w:rsidR="00D353CF" w:rsidRPr="00A23834">
        <w:rPr>
          <w:rFonts w:ascii="Tahoma" w:eastAsia="標楷體" w:hAnsi="Tahoma" w:cs="Tahoma"/>
          <w:sz w:val="20"/>
          <w:szCs w:val="20"/>
        </w:rPr>
        <w:t>roxy</w:t>
      </w:r>
      <w:r w:rsidR="00AC022B" w:rsidRPr="00A23834">
        <w:rPr>
          <w:rFonts w:ascii="Tahoma" w:eastAsia="標楷體" w:hAnsi="Tahoma" w:cs="Tahoma"/>
          <w:sz w:val="20"/>
          <w:szCs w:val="20"/>
        </w:rPr>
        <w:t xml:space="preserve"> fact</w:t>
      </w:r>
      <w:r w:rsidR="002431D0" w:rsidRPr="00A23834">
        <w:rPr>
          <w:rFonts w:ascii="Tahoma" w:eastAsia="標楷體" w:hAnsi="Tahoma" w:cs="Tahoma"/>
          <w:sz w:val="20"/>
          <w:szCs w:val="20"/>
        </w:rPr>
        <w:t xml:space="preserve"> if the account opening or transaction is done through a proxy, and verifying the proxy’s iden</w:t>
      </w:r>
      <w:r w:rsidR="00AC022B" w:rsidRPr="00A23834">
        <w:rPr>
          <w:rFonts w:ascii="Tahoma" w:eastAsia="標楷體" w:hAnsi="Tahoma" w:cs="Tahoma"/>
          <w:sz w:val="20"/>
          <w:szCs w:val="20"/>
        </w:rPr>
        <w:t xml:space="preserve">tity with reliable, independent and original documents, data or information, and keeping the copy of the proxy’s identity document for record. The proxy should show the power of attorney. After investigating and verifying the proxy’s identity and the authorized facts, the bank should retain copies of all the related documents. </w:t>
      </w:r>
    </w:p>
    <w:p w14:paraId="4EDE3EDE" w14:textId="258E25C8" w:rsidR="00621829" w:rsidRPr="00A23834" w:rsidRDefault="00621829" w:rsidP="00677C16">
      <w:pPr>
        <w:pStyle w:val="ListParagraph"/>
        <w:snapToGrid w:val="0"/>
        <w:spacing w:line="240" w:lineRule="exact"/>
        <w:ind w:leftChars="0" w:left="482"/>
        <w:jc w:val="both"/>
        <w:rPr>
          <w:rFonts w:ascii="Tahoma" w:eastAsia="標楷體" w:hAnsi="Tahoma" w:cs="Tahoma"/>
          <w:sz w:val="20"/>
          <w:szCs w:val="20"/>
        </w:rPr>
      </w:pPr>
    </w:p>
    <w:p w14:paraId="3F1EA6A9" w14:textId="52DCBBC5" w:rsidR="00BA1D70" w:rsidRPr="00A23834" w:rsidRDefault="003D0DCE" w:rsidP="00677C16">
      <w:pPr>
        <w:pStyle w:val="ListParagraph"/>
        <w:numPr>
          <w:ilvl w:val="1"/>
          <w:numId w:val="5"/>
        </w:numPr>
        <w:snapToGrid w:val="0"/>
        <w:spacing w:line="240" w:lineRule="exact"/>
        <w:ind w:leftChars="0"/>
        <w:jc w:val="both"/>
        <w:rPr>
          <w:rFonts w:ascii="Tahoma" w:eastAsia="標楷體" w:hAnsi="Tahoma" w:cs="Tahoma"/>
          <w:sz w:val="20"/>
          <w:szCs w:val="20"/>
        </w:rPr>
      </w:pPr>
      <w:r>
        <w:rPr>
          <w:rFonts w:ascii="Tahoma" w:eastAsia="標楷體" w:hAnsi="Tahoma" w:cs="Tahoma"/>
          <w:sz w:val="20"/>
          <w:szCs w:val="20"/>
        </w:rPr>
        <w:t>I</w:t>
      </w:r>
      <w:r w:rsidR="00BA1D70" w:rsidRPr="00A23834">
        <w:rPr>
          <w:rFonts w:ascii="Tahoma" w:eastAsia="標楷體" w:hAnsi="Tahoma" w:cs="Tahoma"/>
          <w:sz w:val="20"/>
          <w:szCs w:val="20"/>
        </w:rPr>
        <w:t>dentifying the beneficial owner and taking reasonable measures to verify that person'</w:t>
      </w:r>
      <w:r w:rsidR="00AC022B" w:rsidRPr="00A23834">
        <w:rPr>
          <w:rFonts w:ascii="Tahoma" w:eastAsia="標楷體" w:hAnsi="Tahoma" w:cs="Tahoma"/>
          <w:sz w:val="20"/>
          <w:szCs w:val="20"/>
        </w:rPr>
        <w:t>s identity</w:t>
      </w:r>
    </w:p>
    <w:p w14:paraId="15EC7D56" w14:textId="77777777" w:rsidR="00AC022B" w:rsidRPr="004853E7" w:rsidRDefault="00AC022B"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For natural </w:t>
      </w:r>
      <w:r w:rsidRPr="004853E7">
        <w:rPr>
          <w:rFonts w:ascii="Tahoma" w:eastAsia="標楷體" w:hAnsi="Tahoma" w:cs="Tahoma"/>
          <w:sz w:val="20"/>
          <w:szCs w:val="20"/>
        </w:rPr>
        <w:t>person, the bank should make sure that the account is for the customer’s own use.</w:t>
      </w:r>
    </w:p>
    <w:p w14:paraId="2C90FAD9" w14:textId="54D4C1FE" w:rsidR="005573E2" w:rsidRPr="004853E7" w:rsidRDefault="00AC022B"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For</w:t>
      </w:r>
      <w:r w:rsidR="00531A1A" w:rsidRPr="004853E7">
        <w:rPr>
          <w:rFonts w:ascii="Tahoma" w:eastAsia="標楷體" w:hAnsi="Tahoma" w:cs="Tahoma"/>
          <w:sz w:val="20"/>
          <w:szCs w:val="20"/>
        </w:rPr>
        <w:t xml:space="preserve"> corporate</w:t>
      </w:r>
      <w:r w:rsidRPr="004853E7">
        <w:rPr>
          <w:rFonts w:ascii="Tahoma" w:eastAsia="標楷體" w:hAnsi="Tahoma" w:cs="Tahoma"/>
          <w:sz w:val="20"/>
          <w:szCs w:val="20"/>
        </w:rPr>
        <w:t xml:space="preserve"> </w:t>
      </w:r>
      <w:r w:rsidR="00531A1A" w:rsidRPr="004853E7">
        <w:rPr>
          <w:rFonts w:ascii="Tahoma" w:eastAsia="標楷體" w:hAnsi="Tahoma" w:cs="Tahoma"/>
          <w:sz w:val="20"/>
          <w:szCs w:val="20"/>
        </w:rPr>
        <w:t>or other legal entity</w:t>
      </w:r>
      <w:r w:rsidRPr="004853E7">
        <w:rPr>
          <w:rFonts w:ascii="Tahoma" w:eastAsia="標楷體" w:hAnsi="Tahoma" w:cs="Tahoma"/>
          <w:sz w:val="20"/>
          <w:szCs w:val="20"/>
        </w:rPr>
        <w:t xml:space="preserve">, the bank should </w:t>
      </w:r>
      <w:r w:rsidR="005573E2" w:rsidRPr="004853E7">
        <w:rPr>
          <w:rFonts w:ascii="Tahoma" w:eastAsia="標楷體" w:hAnsi="Tahoma" w:cs="Tahoma"/>
          <w:sz w:val="20"/>
          <w:szCs w:val="20"/>
        </w:rPr>
        <w:t xml:space="preserve">identify its beneficiary owner in accordance with Article </w:t>
      </w:r>
      <w:r w:rsidR="003340B0" w:rsidRPr="004853E7">
        <w:rPr>
          <w:rFonts w:ascii="Tahoma" w:eastAsia="標楷體" w:hAnsi="Tahoma" w:cs="Tahoma"/>
          <w:sz w:val="20"/>
          <w:szCs w:val="20"/>
        </w:rPr>
        <w:t>5</w:t>
      </w:r>
      <w:r w:rsidR="005573E2" w:rsidRPr="004853E7">
        <w:rPr>
          <w:rFonts w:ascii="Tahoma" w:eastAsia="標楷體" w:hAnsi="Tahoma" w:cs="Tahoma"/>
          <w:sz w:val="20"/>
          <w:szCs w:val="20"/>
        </w:rPr>
        <w:t>, item 1 in this Guideline.</w:t>
      </w:r>
    </w:p>
    <w:p w14:paraId="490B041D" w14:textId="77777777" w:rsidR="001F6E7A" w:rsidRPr="004853E7" w:rsidRDefault="005573E2" w:rsidP="001F6E7A">
      <w:pPr>
        <w:pStyle w:val="ListParagraph"/>
        <w:numPr>
          <w:ilvl w:val="2"/>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 xml:space="preserve">For easement, the bank should check if the beneficiary owner and the collateral owner are the same. If not, the bank should verify the collateral owner’s identity as well. </w:t>
      </w:r>
    </w:p>
    <w:p w14:paraId="7EFCE73A" w14:textId="7C0E3B6F" w:rsidR="001F6E7A" w:rsidRPr="00A23834" w:rsidRDefault="001F6E7A" w:rsidP="001F6E7A">
      <w:pPr>
        <w:pStyle w:val="ListParagraph"/>
        <w:numPr>
          <w:ilvl w:val="2"/>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 xml:space="preserve">The duty to take reasonable measures to verify the identity of the UBO especially applies when the identified UBO is a </w:t>
      </w:r>
      <w:r w:rsidRPr="00A23834">
        <w:rPr>
          <w:rFonts w:ascii="Tahoma" w:eastAsia="標楷體" w:hAnsi="Tahoma" w:cs="Tahoma"/>
          <w:sz w:val="20"/>
          <w:szCs w:val="20"/>
        </w:rPr>
        <w:t>senior management staff, referred to under article 5.1(3)</w:t>
      </w:r>
    </w:p>
    <w:p w14:paraId="3CD97F7E" w14:textId="77777777" w:rsidR="001F6E7A" w:rsidRPr="00A23834" w:rsidRDefault="001F6E7A" w:rsidP="001F6E7A">
      <w:pPr>
        <w:snapToGrid w:val="0"/>
        <w:spacing w:line="240" w:lineRule="exact"/>
        <w:ind w:left="482"/>
        <w:jc w:val="both"/>
        <w:rPr>
          <w:rFonts w:ascii="Tahoma" w:eastAsia="標楷體" w:hAnsi="Tahoma" w:cs="Tahoma"/>
          <w:sz w:val="20"/>
          <w:szCs w:val="20"/>
        </w:rPr>
      </w:pPr>
    </w:p>
    <w:p w14:paraId="42DF4973" w14:textId="4F5AF6C8" w:rsidR="006559EB" w:rsidRPr="00A23834" w:rsidRDefault="00E66F4F" w:rsidP="00677C16">
      <w:pPr>
        <w:pStyle w:val="ListParagraph"/>
        <w:numPr>
          <w:ilvl w:val="1"/>
          <w:numId w:val="5"/>
        </w:numPr>
        <w:snapToGrid w:val="0"/>
        <w:spacing w:before="240" w:line="240" w:lineRule="exact"/>
        <w:ind w:leftChars="0"/>
        <w:jc w:val="both"/>
        <w:rPr>
          <w:rFonts w:ascii="Tahoma" w:eastAsia="標楷體" w:hAnsi="Tahoma" w:cs="Tahoma"/>
          <w:sz w:val="20"/>
          <w:szCs w:val="20"/>
        </w:rPr>
      </w:pPr>
      <w:r w:rsidRPr="00A23834">
        <w:rPr>
          <w:rFonts w:ascii="Tahoma" w:eastAsia="標楷體" w:hAnsi="Tahoma" w:cs="Tahoma"/>
          <w:sz w:val="20"/>
          <w:szCs w:val="20"/>
        </w:rPr>
        <w:t>When</w:t>
      </w:r>
      <w:r w:rsidR="00E15E31" w:rsidRPr="00A23834">
        <w:rPr>
          <w:rFonts w:ascii="Tahoma" w:eastAsia="標楷體" w:hAnsi="Tahoma" w:cs="Tahoma"/>
          <w:sz w:val="20"/>
          <w:szCs w:val="20"/>
        </w:rPr>
        <w:t xml:space="preserve"> </w:t>
      </w:r>
      <w:r w:rsidRPr="00A23834">
        <w:rPr>
          <w:rFonts w:ascii="Tahoma" w:eastAsia="標楷體" w:hAnsi="Tahoma" w:cs="Tahoma"/>
          <w:sz w:val="20"/>
          <w:szCs w:val="20"/>
        </w:rPr>
        <w:t xml:space="preserve">the </w:t>
      </w:r>
      <w:r w:rsidR="00E15E31" w:rsidRPr="00A23834">
        <w:rPr>
          <w:rFonts w:ascii="Tahoma" w:eastAsia="標楷體" w:hAnsi="Tahoma" w:cs="Tahoma"/>
          <w:sz w:val="20"/>
          <w:szCs w:val="20"/>
        </w:rPr>
        <w:t>customer is a legal entity, the bank should obtain the name, date of birth and nationality of their senior management</w:t>
      </w:r>
      <w:r w:rsidR="0084275F" w:rsidRPr="00A23834">
        <w:rPr>
          <w:rFonts w:ascii="Tahoma" w:eastAsia="標楷體" w:hAnsi="Tahoma" w:cs="Tahoma"/>
          <w:sz w:val="20"/>
          <w:szCs w:val="20"/>
        </w:rPr>
        <w:t>.</w:t>
      </w:r>
      <w:r w:rsidR="00E15E31" w:rsidRPr="00A23834">
        <w:rPr>
          <w:rFonts w:ascii="Tahoma" w:eastAsia="標楷體" w:hAnsi="Tahoma" w:cs="Tahoma"/>
          <w:sz w:val="20"/>
          <w:szCs w:val="20"/>
        </w:rPr>
        <w:t xml:space="preserve"> (</w:t>
      </w:r>
      <w:r w:rsidR="0084275F" w:rsidRPr="00A23834">
        <w:rPr>
          <w:rFonts w:ascii="Tahoma" w:eastAsia="標楷體" w:hAnsi="Tahoma" w:cs="Tahoma"/>
          <w:sz w:val="20"/>
          <w:szCs w:val="20"/>
        </w:rPr>
        <w:t>T</w:t>
      </w:r>
      <w:r w:rsidR="0084275F" w:rsidRPr="00A23834">
        <w:rPr>
          <w:rFonts w:ascii="Tahoma" w:eastAsia="標楷體" w:hAnsi="Tahoma" w:cs="Tahoma"/>
          <w:sz w:val="20"/>
          <w:szCs w:val="20"/>
          <w:lang w:eastAsia="zh-HK"/>
        </w:rPr>
        <w:t xml:space="preserve">he senior management shall </w:t>
      </w:r>
      <w:r w:rsidR="00E15E31" w:rsidRPr="00A23834">
        <w:rPr>
          <w:rFonts w:ascii="Tahoma" w:eastAsia="標楷體" w:hAnsi="Tahoma" w:cs="Tahoma"/>
          <w:sz w:val="20"/>
          <w:szCs w:val="20"/>
        </w:rPr>
        <w:t>includ</w:t>
      </w:r>
      <w:r w:rsidR="0084275F" w:rsidRPr="00A23834">
        <w:rPr>
          <w:rFonts w:ascii="Tahoma" w:eastAsia="標楷體" w:hAnsi="Tahoma" w:cs="Tahoma"/>
          <w:sz w:val="20"/>
          <w:szCs w:val="20"/>
        </w:rPr>
        <w:t xml:space="preserve">e the </w:t>
      </w:r>
      <w:r w:rsidR="00E15E31" w:rsidRPr="00A23834">
        <w:rPr>
          <w:rFonts w:ascii="Tahoma" w:eastAsia="標楷體" w:hAnsi="Tahoma" w:cs="Tahoma"/>
          <w:sz w:val="20"/>
          <w:szCs w:val="20"/>
        </w:rPr>
        <w:t xml:space="preserve">director, supervisor, counsellor, President, Chief Financial Officer, representative, manager, partner, authorized signatory, or </w:t>
      </w:r>
      <w:r w:rsidRPr="00A23834">
        <w:rPr>
          <w:rFonts w:ascii="Tahoma" w:eastAsia="標楷體" w:hAnsi="Tahoma" w:cs="Tahoma"/>
          <w:sz w:val="20"/>
          <w:szCs w:val="20"/>
        </w:rPr>
        <w:t xml:space="preserve">natural person who is considered to be the </w:t>
      </w:r>
      <w:r w:rsidR="00D25B0A" w:rsidRPr="00A23834">
        <w:rPr>
          <w:rFonts w:ascii="Tahoma" w:eastAsia="標楷體" w:hAnsi="Tahoma" w:cs="Tahoma"/>
          <w:sz w:val="20"/>
          <w:szCs w:val="20"/>
        </w:rPr>
        <w:t>senior management. The bank has to implement the risk-based approach to decide who the senior management</w:t>
      </w:r>
      <w:r w:rsidR="0084275F" w:rsidRPr="00A23834">
        <w:rPr>
          <w:rFonts w:ascii="Tahoma" w:eastAsia="標楷體" w:hAnsi="Tahoma" w:cs="Tahoma"/>
          <w:sz w:val="20"/>
          <w:szCs w:val="20"/>
        </w:rPr>
        <w:t xml:space="preserve"> is.</w:t>
      </w:r>
      <w:r w:rsidR="00E15E31" w:rsidRPr="00A23834">
        <w:rPr>
          <w:rFonts w:ascii="Tahoma" w:eastAsia="標楷體" w:hAnsi="Tahoma" w:cs="Tahoma"/>
          <w:sz w:val="20"/>
          <w:szCs w:val="20"/>
        </w:rPr>
        <w:t>).</w:t>
      </w:r>
    </w:p>
    <w:p w14:paraId="0B119D05" w14:textId="77777777" w:rsidR="00621829" w:rsidRPr="00A23834" w:rsidRDefault="00621829" w:rsidP="00677C16">
      <w:pPr>
        <w:pStyle w:val="ListParagraph"/>
        <w:snapToGrid w:val="0"/>
        <w:spacing w:before="240" w:line="240" w:lineRule="exact"/>
        <w:ind w:leftChars="0" w:left="482"/>
        <w:jc w:val="both"/>
        <w:rPr>
          <w:rFonts w:ascii="Tahoma" w:eastAsia="標楷體" w:hAnsi="Tahoma" w:cs="Tahoma"/>
          <w:sz w:val="20"/>
          <w:szCs w:val="20"/>
        </w:rPr>
      </w:pPr>
    </w:p>
    <w:p w14:paraId="3DC16CEF" w14:textId="791C66D4" w:rsidR="00BA1D70" w:rsidRPr="00A23834" w:rsidRDefault="003D0DCE" w:rsidP="00677C16">
      <w:pPr>
        <w:pStyle w:val="ListParagraph"/>
        <w:numPr>
          <w:ilvl w:val="1"/>
          <w:numId w:val="5"/>
        </w:numPr>
        <w:snapToGrid w:val="0"/>
        <w:spacing w:line="240" w:lineRule="exact"/>
        <w:ind w:leftChars="0"/>
        <w:jc w:val="both"/>
        <w:rPr>
          <w:rFonts w:ascii="Tahoma" w:eastAsia="標楷體" w:hAnsi="Tahoma" w:cs="Tahoma"/>
          <w:sz w:val="20"/>
          <w:szCs w:val="20"/>
        </w:rPr>
      </w:pPr>
      <w:r>
        <w:rPr>
          <w:rFonts w:ascii="Tahoma" w:eastAsia="標楷體" w:hAnsi="Tahoma" w:cs="Tahoma"/>
          <w:sz w:val="20"/>
          <w:szCs w:val="20"/>
        </w:rPr>
        <w:t>U</w:t>
      </w:r>
      <w:r w:rsidR="00801B59" w:rsidRPr="00A23834">
        <w:rPr>
          <w:rFonts w:ascii="Tahoma" w:eastAsia="標楷體" w:hAnsi="Tahoma" w:cs="Tahoma"/>
          <w:sz w:val="20"/>
          <w:szCs w:val="20"/>
        </w:rPr>
        <w:t>nderstand</w:t>
      </w:r>
      <w:r w:rsidR="00BA1D70" w:rsidRPr="00A23834">
        <w:rPr>
          <w:rFonts w:ascii="Tahoma" w:eastAsia="標楷體" w:hAnsi="Tahoma" w:cs="Tahoma"/>
          <w:sz w:val="20"/>
          <w:szCs w:val="20"/>
        </w:rPr>
        <w:t xml:space="preserve">ing and, as appropriate, obtaining </w:t>
      </w:r>
      <w:r w:rsidR="00BA1D70" w:rsidRPr="00A23834">
        <w:rPr>
          <w:rFonts w:ascii="Tahoma" w:eastAsia="標楷體" w:hAnsi="Tahoma" w:cs="Tahoma"/>
          <w:sz w:val="20"/>
          <w:szCs w:val="20"/>
          <w:lang w:eastAsia="zh-HK"/>
        </w:rPr>
        <w:t xml:space="preserve">related </w:t>
      </w:r>
      <w:r w:rsidR="00BA1D70" w:rsidRPr="00A23834">
        <w:rPr>
          <w:rFonts w:ascii="Tahoma" w:eastAsia="標楷體" w:hAnsi="Tahoma" w:cs="Tahoma"/>
          <w:sz w:val="20"/>
          <w:szCs w:val="20"/>
        </w:rPr>
        <w:t>information on the purpose and intended nature of the business relationship</w:t>
      </w:r>
      <w:r w:rsidR="00C314A0" w:rsidRPr="00A23834">
        <w:rPr>
          <w:rFonts w:ascii="Tahoma" w:eastAsia="標楷體" w:hAnsi="Tahoma" w:cs="Tahoma"/>
          <w:sz w:val="20"/>
          <w:szCs w:val="20"/>
        </w:rPr>
        <w:t xml:space="preserve"> and the expected size of transactions</w:t>
      </w:r>
      <w:r w:rsidR="00BA1D70" w:rsidRPr="00A23834">
        <w:rPr>
          <w:rFonts w:ascii="Tahoma" w:eastAsia="標楷體" w:hAnsi="Tahoma" w:cs="Tahoma"/>
          <w:sz w:val="20"/>
          <w:szCs w:val="20"/>
        </w:rPr>
        <w:t>;</w:t>
      </w:r>
    </w:p>
    <w:p w14:paraId="407CD56E" w14:textId="77777777" w:rsidR="00621829" w:rsidRPr="00A23834" w:rsidRDefault="00621829" w:rsidP="00677C16">
      <w:pPr>
        <w:pStyle w:val="ListParagraph"/>
        <w:snapToGrid w:val="0"/>
        <w:spacing w:line="240" w:lineRule="exact"/>
        <w:ind w:leftChars="0" w:left="482"/>
        <w:jc w:val="both"/>
        <w:rPr>
          <w:rFonts w:ascii="Tahoma" w:eastAsia="標楷體" w:hAnsi="Tahoma" w:cs="Tahoma"/>
          <w:sz w:val="20"/>
          <w:szCs w:val="20"/>
        </w:rPr>
      </w:pPr>
    </w:p>
    <w:p w14:paraId="61EEB06D" w14:textId="51A1D34B" w:rsidR="001F6E7A" w:rsidRPr="00A23834" w:rsidRDefault="003D0DCE" w:rsidP="001F6E7A">
      <w:pPr>
        <w:pStyle w:val="ListParagraph"/>
        <w:numPr>
          <w:ilvl w:val="1"/>
          <w:numId w:val="5"/>
        </w:numPr>
        <w:snapToGrid w:val="0"/>
        <w:spacing w:line="240" w:lineRule="exact"/>
        <w:ind w:leftChars="0"/>
        <w:jc w:val="both"/>
        <w:rPr>
          <w:rFonts w:ascii="Tahoma" w:eastAsia="標楷體" w:hAnsi="Tahoma" w:cs="Tahoma"/>
          <w:sz w:val="20"/>
          <w:szCs w:val="20"/>
        </w:rPr>
      </w:pPr>
      <w:r>
        <w:rPr>
          <w:rFonts w:ascii="Tahoma" w:eastAsia="標楷體" w:hAnsi="Tahoma" w:cs="Tahoma"/>
          <w:sz w:val="20"/>
          <w:szCs w:val="20"/>
        </w:rPr>
        <w:t>C</w:t>
      </w:r>
      <w:r w:rsidR="00BA1D70" w:rsidRPr="00A23834">
        <w:rPr>
          <w:rFonts w:ascii="Tahoma" w:eastAsia="標楷體" w:hAnsi="Tahoma" w:cs="Tahoma"/>
          <w:sz w:val="20"/>
          <w:szCs w:val="20"/>
        </w:rPr>
        <w:t>onducting ongoing monitoring of the business relationship</w:t>
      </w:r>
      <w:r w:rsidR="00ED2A75" w:rsidRPr="00A23834">
        <w:rPr>
          <w:rFonts w:ascii="Tahoma" w:eastAsia="標楷體" w:hAnsi="Tahoma" w:cs="Tahoma"/>
          <w:sz w:val="20"/>
          <w:szCs w:val="20"/>
        </w:rPr>
        <w:t>,</w:t>
      </w:r>
      <w:r w:rsidR="00BA1D70" w:rsidRPr="00A23834">
        <w:rPr>
          <w:rFonts w:ascii="Tahoma" w:eastAsia="標楷體" w:hAnsi="Tahoma" w:cs="Tahoma"/>
          <w:sz w:val="20"/>
          <w:szCs w:val="20"/>
        </w:rPr>
        <w:t xml:space="preserve"> including scrutiny of transactions undertaken throughout the course of that relationship to ensure that the transactions being conducted are co</w:t>
      </w:r>
      <w:r w:rsidR="0021055B" w:rsidRPr="00A23834">
        <w:rPr>
          <w:rFonts w:ascii="Tahoma" w:eastAsia="標楷體" w:hAnsi="Tahoma" w:cs="Tahoma"/>
          <w:sz w:val="20"/>
          <w:szCs w:val="20"/>
        </w:rPr>
        <w:t>nsistent with the bank</w:t>
      </w:r>
      <w:r w:rsidR="00BA1D70" w:rsidRPr="00A23834">
        <w:rPr>
          <w:rFonts w:ascii="Tahoma" w:eastAsia="標楷體" w:hAnsi="Tahoma" w:cs="Tahoma"/>
          <w:sz w:val="20"/>
          <w:szCs w:val="20"/>
        </w:rPr>
        <w:t>'s knowledge of the customer, the business and risk profile</w:t>
      </w:r>
      <w:r w:rsidR="0021055B" w:rsidRPr="00A23834">
        <w:rPr>
          <w:rFonts w:ascii="Tahoma" w:eastAsia="標楷體" w:hAnsi="Tahoma" w:cs="Tahoma"/>
          <w:sz w:val="20"/>
          <w:szCs w:val="20"/>
        </w:rPr>
        <w:t xml:space="preserve"> and </w:t>
      </w:r>
      <w:r w:rsidR="00BA1D70" w:rsidRPr="00A23834">
        <w:rPr>
          <w:rFonts w:ascii="Tahoma" w:eastAsia="標楷體" w:hAnsi="Tahoma" w:cs="Tahoma"/>
          <w:sz w:val="20"/>
          <w:szCs w:val="20"/>
        </w:rPr>
        <w:t>where necessary the source of funds</w:t>
      </w:r>
      <w:r w:rsidR="0021055B" w:rsidRPr="00A23834">
        <w:rPr>
          <w:rFonts w:ascii="Tahoma" w:eastAsia="標楷體" w:hAnsi="Tahoma" w:cs="Tahoma"/>
          <w:sz w:val="20"/>
          <w:szCs w:val="20"/>
        </w:rPr>
        <w:t>,</w:t>
      </w:r>
      <w:r w:rsidR="00BA1D70" w:rsidRPr="00A23834">
        <w:rPr>
          <w:rFonts w:ascii="Tahoma" w:eastAsia="標楷體" w:hAnsi="Tahoma" w:cs="Tahoma"/>
          <w:sz w:val="20"/>
          <w:szCs w:val="20"/>
        </w:rPr>
        <w:t xml:space="preserve"> and ensuring that the documents, data or information held are kept up-to-date.</w:t>
      </w:r>
    </w:p>
    <w:p w14:paraId="1CF32343" w14:textId="77777777" w:rsidR="001F6E7A" w:rsidRPr="00A23834" w:rsidRDefault="001F6E7A" w:rsidP="001F6E7A">
      <w:pPr>
        <w:pStyle w:val="ListParagraph"/>
        <w:rPr>
          <w:rFonts w:ascii="Tahoma" w:eastAsia="標楷體" w:hAnsi="Tahoma" w:cs="Tahoma"/>
          <w:sz w:val="20"/>
          <w:szCs w:val="20"/>
        </w:rPr>
      </w:pPr>
    </w:p>
    <w:p w14:paraId="05A0BA99" w14:textId="026E70EC" w:rsidR="001F6E7A" w:rsidRPr="00A23834" w:rsidRDefault="001F6E7A" w:rsidP="001F6E7A">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Implementing adequate risk management systems to determine whether the customer with whom they enter or have business relationship, a proxy or beneficial owner of the customer is or has become a politically exposed person (PEP</w:t>
      </w:r>
      <w:r w:rsidRPr="00A23834">
        <w:rPr>
          <w:rFonts w:ascii="Tahoma" w:eastAsia="標楷體" w:hAnsi="Tahoma" w:cs="Tahoma" w:hint="eastAsia"/>
          <w:sz w:val="20"/>
          <w:szCs w:val="20"/>
        </w:rPr>
        <w:t>)</w:t>
      </w:r>
      <w:r w:rsidRPr="00A23834">
        <w:rPr>
          <w:rFonts w:ascii="Tahoma" w:eastAsia="標楷體" w:hAnsi="Tahoma" w:cs="Tahoma"/>
          <w:sz w:val="20"/>
          <w:szCs w:val="20"/>
        </w:rPr>
        <w:t xml:space="preserve"> , a family member of a PEP or a person known to be closely associated with a PEP.</w:t>
      </w:r>
    </w:p>
    <w:p w14:paraId="2365DBE3" w14:textId="77777777" w:rsidR="001F6E7A" w:rsidRPr="00A23834" w:rsidRDefault="001F6E7A" w:rsidP="001F6E7A">
      <w:pPr>
        <w:snapToGrid w:val="0"/>
        <w:spacing w:line="240" w:lineRule="exact"/>
        <w:jc w:val="both"/>
        <w:rPr>
          <w:rFonts w:ascii="Tahoma" w:eastAsia="標楷體" w:hAnsi="Tahoma" w:cs="Tahoma"/>
          <w:sz w:val="20"/>
          <w:szCs w:val="20"/>
        </w:rPr>
      </w:pPr>
    </w:p>
    <w:p w14:paraId="05C40780" w14:textId="367AD88E" w:rsidR="000810A0" w:rsidRPr="00A23834" w:rsidRDefault="00CF74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bookmarkStart w:id="34" w:name="_Toc142480929"/>
      <w:bookmarkStart w:id="35" w:name="_Toc142484958"/>
      <w:r w:rsidRPr="00A23834">
        <w:rPr>
          <w:rFonts w:ascii="Tahoma" w:eastAsia="標楷體" w:hAnsi="Tahoma" w:cs="Tahoma"/>
          <w:sz w:val="20"/>
          <w:szCs w:val="20"/>
        </w:rPr>
        <w:t>Identification and Verification</w:t>
      </w:r>
      <w:bookmarkEnd w:id="34"/>
      <w:bookmarkEnd w:id="35"/>
    </w:p>
    <w:p w14:paraId="4C607E49" w14:textId="77777777" w:rsidR="00621829" w:rsidRPr="00A23834" w:rsidRDefault="00621829" w:rsidP="00677C16">
      <w:pPr>
        <w:snapToGrid w:val="0"/>
        <w:spacing w:line="240" w:lineRule="exact"/>
        <w:jc w:val="both"/>
        <w:rPr>
          <w:rFonts w:ascii="Tahoma" w:eastAsia="標楷體" w:hAnsi="Tahoma" w:cs="Tahoma"/>
          <w:sz w:val="20"/>
          <w:szCs w:val="20"/>
        </w:rPr>
      </w:pPr>
    </w:p>
    <w:p w14:paraId="2CD9869F" w14:textId="50A5100D" w:rsidR="00803117" w:rsidRPr="00A23834" w:rsidRDefault="000B6B4C" w:rsidP="00677C16">
      <w:pPr>
        <w:snapToGrid w:val="0"/>
        <w:spacing w:line="240" w:lineRule="exact"/>
        <w:jc w:val="both"/>
        <w:rPr>
          <w:rFonts w:ascii="Tahoma" w:eastAsia="標楷體" w:hAnsi="Tahoma" w:cs="Tahoma"/>
          <w:sz w:val="20"/>
          <w:szCs w:val="20"/>
        </w:rPr>
      </w:pPr>
      <w:r w:rsidRPr="00A23834">
        <w:rPr>
          <w:rFonts w:ascii="Tahoma" w:eastAsia="標楷體" w:hAnsi="Tahoma" w:cs="Tahoma"/>
          <w:sz w:val="20"/>
          <w:szCs w:val="20"/>
        </w:rPr>
        <w:t>Identification and Verification of the identity of the customer, the representative/ proxy and the ultimate beneficial owner (UBO) (customer due diligence:</w:t>
      </w:r>
      <w:r w:rsidR="00482DAF" w:rsidRPr="00A23834">
        <w:rPr>
          <w:rFonts w:ascii="Tahoma" w:eastAsia="標楷體" w:hAnsi="Tahoma" w:cs="Tahoma"/>
          <w:sz w:val="20"/>
          <w:szCs w:val="20"/>
        </w:rPr>
        <w:t xml:space="preserve"> </w:t>
      </w:r>
      <w:r w:rsidRPr="00A23834">
        <w:rPr>
          <w:rFonts w:ascii="Tahoma" w:eastAsia="標楷體" w:hAnsi="Tahoma" w:cs="Tahoma"/>
          <w:sz w:val="20"/>
          <w:szCs w:val="20"/>
        </w:rPr>
        <w:t>CDD)</w:t>
      </w:r>
    </w:p>
    <w:p w14:paraId="300E3BE8" w14:textId="77777777" w:rsidR="003C32BF" w:rsidRPr="00A23834" w:rsidRDefault="003C32BF" w:rsidP="00677C16">
      <w:pPr>
        <w:pStyle w:val="ListParagraph"/>
        <w:numPr>
          <w:ilvl w:val="1"/>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The customer due diligence has as objective to :</w:t>
      </w:r>
      <w:r w:rsidR="002B56EC" w:rsidRPr="00A23834">
        <w:rPr>
          <w:rFonts w:ascii="Tahoma" w:eastAsia="標楷體" w:hAnsi="Tahoma" w:cs="Tahoma"/>
          <w:sz w:val="20"/>
          <w:szCs w:val="20"/>
          <w:lang w:val="en-GB"/>
        </w:rPr>
        <w:t xml:space="preserve"> </w:t>
      </w:r>
    </w:p>
    <w:p w14:paraId="2D1D0B53" w14:textId="77777777" w:rsidR="003C32BF" w:rsidRPr="00A23834" w:rsidRDefault="003C32BF"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lang w:val="en-GB"/>
        </w:rPr>
        <w:lastRenderedPageBreak/>
        <w:t>Identify and ver</w:t>
      </w:r>
      <w:r w:rsidRPr="00A23834">
        <w:rPr>
          <w:rFonts w:ascii="Tahoma" w:eastAsia="標楷體" w:hAnsi="Tahoma" w:cs="Tahoma"/>
          <w:sz w:val="20"/>
          <w:szCs w:val="20"/>
        </w:rPr>
        <w:t>ify the customer identity on the basis of information obtained from a reliable and independent source</w:t>
      </w:r>
      <w:r w:rsidR="002B56EC" w:rsidRPr="00A23834">
        <w:rPr>
          <w:rFonts w:ascii="Tahoma" w:eastAsia="標楷體" w:hAnsi="Tahoma" w:cs="Tahoma"/>
          <w:sz w:val="20"/>
          <w:szCs w:val="20"/>
        </w:rPr>
        <w:t xml:space="preserve">. </w:t>
      </w:r>
    </w:p>
    <w:p w14:paraId="4E483309" w14:textId="03E225BD" w:rsidR="003C32BF" w:rsidRPr="00A23834" w:rsidRDefault="003C32BF"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Identify and verify, where applicable, the representative/</w:t>
      </w:r>
      <w:r w:rsidR="00FC0239" w:rsidRPr="00A23834">
        <w:rPr>
          <w:rFonts w:ascii="Tahoma" w:eastAsia="標楷體" w:hAnsi="Tahoma" w:cs="Tahoma"/>
          <w:sz w:val="20"/>
          <w:szCs w:val="20"/>
        </w:rPr>
        <w:t xml:space="preserve"> </w:t>
      </w:r>
      <w:r w:rsidRPr="00A23834">
        <w:rPr>
          <w:rFonts w:ascii="Tahoma" w:eastAsia="標楷體" w:hAnsi="Tahoma" w:cs="Tahoma"/>
          <w:sz w:val="20"/>
          <w:szCs w:val="20"/>
        </w:rPr>
        <w:t>proxy</w:t>
      </w:r>
      <w:r w:rsidR="00FD1BE8" w:rsidRPr="00A23834">
        <w:rPr>
          <w:rFonts w:ascii="Tahoma" w:eastAsia="標楷體" w:hAnsi="Tahoma" w:cs="Tahoma"/>
          <w:sz w:val="20"/>
          <w:szCs w:val="20"/>
        </w:rPr>
        <w:t xml:space="preserve"> </w:t>
      </w:r>
      <w:r w:rsidRPr="00A23834">
        <w:rPr>
          <w:rFonts w:ascii="Tahoma" w:eastAsia="標楷體" w:hAnsi="Tahoma" w:cs="Tahoma"/>
          <w:sz w:val="20"/>
          <w:szCs w:val="20"/>
        </w:rPr>
        <w:t>of the client’s identity on the basis of information obtained from a reliable and independent source.</w:t>
      </w:r>
    </w:p>
    <w:p w14:paraId="42DACFD7" w14:textId="77777777" w:rsidR="003C32BF" w:rsidRPr="00A23834" w:rsidRDefault="003C32BF"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Identify</w:t>
      </w:r>
      <w:r w:rsidR="00FD1BE8" w:rsidRPr="00A23834">
        <w:rPr>
          <w:rFonts w:ascii="Tahoma" w:eastAsia="標楷體" w:hAnsi="Tahoma" w:cs="Tahoma"/>
          <w:sz w:val="20"/>
          <w:szCs w:val="20"/>
        </w:rPr>
        <w:t xml:space="preserve"> </w:t>
      </w:r>
      <w:r w:rsidRPr="00A23834">
        <w:rPr>
          <w:rFonts w:ascii="Tahoma" w:eastAsia="標楷體" w:hAnsi="Tahoma" w:cs="Tahoma"/>
          <w:sz w:val="20"/>
          <w:szCs w:val="20"/>
        </w:rPr>
        <w:t>and verify, where applicable, the ultimate beneficial owner (UBO)</w:t>
      </w:r>
      <w:r w:rsidR="002B56EC" w:rsidRPr="00A23834">
        <w:rPr>
          <w:rFonts w:ascii="Tahoma" w:eastAsia="標楷體" w:hAnsi="Tahoma" w:cs="Tahoma"/>
          <w:sz w:val="20"/>
          <w:szCs w:val="20"/>
        </w:rPr>
        <w:t xml:space="preserve"> </w:t>
      </w:r>
      <w:r w:rsidRPr="00A23834">
        <w:rPr>
          <w:rFonts w:ascii="Tahoma" w:eastAsia="標楷體" w:hAnsi="Tahoma" w:cs="Tahoma"/>
          <w:sz w:val="20"/>
          <w:szCs w:val="20"/>
        </w:rPr>
        <w:t>of customer on the basis of information obtained from a reliable and independent source.</w:t>
      </w:r>
      <w:r w:rsidR="002B56EC" w:rsidRPr="00A23834">
        <w:rPr>
          <w:rFonts w:ascii="Tahoma" w:eastAsia="標楷體" w:hAnsi="Tahoma" w:cs="Tahoma"/>
          <w:sz w:val="20"/>
          <w:szCs w:val="20"/>
        </w:rPr>
        <w:t xml:space="preserve"> </w:t>
      </w:r>
    </w:p>
    <w:p w14:paraId="5F643056" w14:textId="77777777" w:rsidR="003C32BF" w:rsidRPr="00A23834" w:rsidRDefault="003C32BF" w:rsidP="00677C16">
      <w:pPr>
        <w:pStyle w:val="ListParagraph"/>
        <w:numPr>
          <w:ilvl w:val="2"/>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rPr>
        <w:t>Obtain information o</w:t>
      </w:r>
      <w:r w:rsidRPr="00A23834">
        <w:rPr>
          <w:rFonts w:ascii="Tahoma" w:eastAsia="標楷體" w:hAnsi="Tahoma" w:cs="Tahoma"/>
          <w:sz w:val="20"/>
          <w:szCs w:val="20"/>
          <w:lang w:val="en-GB"/>
        </w:rPr>
        <w:t xml:space="preserve">n the purpose and </w:t>
      </w:r>
      <w:r w:rsidR="00C1014D" w:rsidRPr="00A23834">
        <w:rPr>
          <w:rFonts w:ascii="Tahoma" w:eastAsia="標楷體" w:hAnsi="Tahoma" w:cs="Tahoma"/>
          <w:sz w:val="20"/>
          <w:szCs w:val="20"/>
          <w:lang w:val="en-GB" w:eastAsia="zh-HK"/>
        </w:rPr>
        <w:t xml:space="preserve">type of </w:t>
      </w:r>
      <w:r w:rsidRPr="00A23834">
        <w:rPr>
          <w:rFonts w:ascii="Tahoma" w:eastAsia="標楷體" w:hAnsi="Tahoma" w:cs="Tahoma"/>
          <w:sz w:val="20"/>
          <w:szCs w:val="20"/>
          <w:lang w:val="en-GB"/>
        </w:rPr>
        <w:t xml:space="preserve">intended </w:t>
      </w:r>
      <w:r w:rsidR="00C1014D" w:rsidRPr="00A23834">
        <w:rPr>
          <w:rFonts w:ascii="Tahoma" w:eastAsia="標楷體" w:hAnsi="Tahoma" w:cs="Tahoma"/>
          <w:sz w:val="20"/>
          <w:szCs w:val="20"/>
          <w:lang w:val="en-GB" w:eastAsia="zh-HK"/>
        </w:rPr>
        <w:t>transaction</w:t>
      </w:r>
      <w:r w:rsidRPr="00A23834">
        <w:rPr>
          <w:rFonts w:ascii="Tahoma" w:eastAsia="標楷體" w:hAnsi="Tahoma" w:cs="Tahoma"/>
          <w:sz w:val="20"/>
          <w:szCs w:val="20"/>
          <w:lang w:val="en-GB"/>
        </w:rPr>
        <w:t xml:space="preserve"> of the business relationship</w:t>
      </w:r>
      <w:r w:rsidR="00C1014D" w:rsidRPr="00A23834">
        <w:rPr>
          <w:rFonts w:ascii="Tahoma" w:eastAsia="標楷體" w:hAnsi="Tahoma" w:cs="Tahoma"/>
          <w:sz w:val="20"/>
          <w:szCs w:val="20"/>
          <w:lang w:val="en-GB"/>
        </w:rPr>
        <w:t>.</w:t>
      </w:r>
      <w:r w:rsidR="002B56EC" w:rsidRPr="00A23834">
        <w:rPr>
          <w:rFonts w:ascii="Tahoma" w:eastAsia="標楷體" w:hAnsi="Tahoma" w:cs="Tahoma"/>
          <w:sz w:val="20"/>
          <w:szCs w:val="20"/>
          <w:lang w:val="en-GB"/>
        </w:rPr>
        <w:t xml:space="preserve"> </w:t>
      </w:r>
    </w:p>
    <w:p w14:paraId="219F4D27" w14:textId="77777777" w:rsidR="00621829" w:rsidRPr="00A23834" w:rsidRDefault="00621829" w:rsidP="00677C16">
      <w:pPr>
        <w:snapToGrid w:val="0"/>
        <w:spacing w:line="240" w:lineRule="exact"/>
        <w:ind w:left="482"/>
        <w:jc w:val="both"/>
        <w:rPr>
          <w:rFonts w:ascii="Tahoma" w:eastAsia="標楷體" w:hAnsi="Tahoma" w:cs="Tahoma"/>
          <w:sz w:val="20"/>
          <w:szCs w:val="20"/>
          <w:lang w:val="en-GB"/>
        </w:rPr>
      </w:pPr>
    </w:p>
    <w:p w14:paraId="775F98F2" w14:textId="6765AEB1" w:rsidR="003C32BF" w:rsidRPr="00A23834" w:rsidRDefault="00C1014D" w:rsidP="00677C16">
      <w:pPr>
        <w:pStyle w:val="ListParagraph"/>
        <w:numPr>
          <w:ilvl w:val="1"/>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I</w:t>
      </w:r>
      <w:r w:rsidRPr="00A23834">
        <w:rPr>
          <w:rFonts w:ascii="Tahoma" w:eastAsia="標楷體" w:hAnsi="Tahoma" w:cs="Tahoma"/>
          <w:sz w:val="20"/>
          <w:szCs w:val="20"/>
          <w:lang w:val="en-GB" w:eastAsia="zh-HK"/>
        </w:rPr>
        <w:t xml:space="preserve">mplementation of the </w:t>
      </w:r>
      <w:r w:rsidR="003C32BF" w:rsidRPr="00A23834">
        <w:rPr>
          <w:rFonts w:ascii="Tahoma" w:eastAsia="標楷體" w:hAnsi="Tahoma" w:cs="Tahoma"/>
          <w:sz w:val="20"/>
          <w:szCs w:val="20"/>
          <w:lang w:val="en-GB"/>
        </w:rPr>
        <w:t>Identification and verification of the customer identity:</w:t>
      </w:r>
      <w:r w:rsidR="002B56EC" w:rsidRPr="00A23834">
        <w:rPr>
          <w:rFonts w:ascii="Tahoma" w:eastAsia="標楷體" w:hAnsi="Tahoma" w:cs="Tahoma"/>
          <w:sz w:val="20"/>
          <w:szCs w:val="20"/>
          <w:lang w:val="en-GB"/>
        </w:rPr>
        <w:t xml:space="preserve"> </w:t>
      </w:r>
    </w:p>
    <w:p w14:paraId="297B7C91" w14:textId="77777777" w:rsidR="003C32BF" w:rsidRPr="00A23834" w:rsidRDefault="003C32BF" w:rsidP="00677C16">
      <w:pPr>
        <w:pStyle w:val="ListParagraph"/>
        <w:numPr>
          <w:ilvl w:val="2"/>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Natural person</w:t>
      </w:r>
      <w:r w:rsidR="002B56EC" w:rsidRPr="00A23834">
        <w:rPr>
          <w:rFonts w:ascii="Tahoma" w:eastAsia="標楷體" w:hAnsi="Tahoma" w:cs="Tahoma"/>
          <w:sz w:val="20"/>
          <w:szCs w:val="20"/>
          <w:lang w:val="en-GB"/>
        </w:rPr>
        <w:t xml:space="preserve"> </w:t>
      </w:r>
    </w:p>
    <w:p w14:paraId="01669BE0" w14:textId="15CE6BE6" w:rsidR="003C32BF" w:rsidRPr="00A23834" w:rsidRDefault="003D0DCE" w:rsidP="00677C16">
      <w:pPr>
        <w:pStyle w:val="ListParagraph"/>
        <w:numPr>
          <w:ilvl w:val="3"/>
          <w:numId w:val="5"/>
        </w:numPr>
        <w:snapToGrid w:val="0"/>
        <w:spacing w:line="240" w:lineRule="exact"/>
        <w:ind w:leftChars="0"/>
        <w:jc w:val="both"/>
        <w:rPr>
          <w:rFonts w:ascii="Tahoma" w:eastAsia="標楷體" w:hAnsi="Tahoma" w:cs="Tahoma"/>
          <w:sz w:val="20"/>
          <w:szCs w:val="20"/>
          <w:lang w:val="en-GB"/>
        </w:rPr>
      </w:pPr>
      <w:r>
        <w:rPr>
          <w:rFonts w:ascii="Tahoma" w:eastAsia="標楷體" w:hAnsi="Tahoma" w:cs="Tahoma"/>
          <w:sz w:val="20"/>
          <w:szCs w:val="20"/>
          <w:lang w:val="en-GB" w:eastAsia="zh-HK"/>
        </w:rPr>
        <w:t>T</w:t>
      </w:r>
      <w:r w:rsidR="00B67526" w:rsidRPr="00A23834">
        <w:rPr>
          <w:rFonts w:ascii="Tahoma" w:eastAsia="標楷體" w:hAnsi="Tahoma" w:cs="Tahoma"/>
          <w:sz w:val="20"/>
          <w:szCs w:val="20"/>
          <w:lang w:val="en-GB" w:eastAsia="zh-HK"/>
        </w:rPr>
        <w:t xml:space="preserve">he </w:t>
      </w:r>
      <w:r w:rsidR="00460B9D" w:rsidRPr="00A23834">
        <w:rPr>
          <w:rFonts w:ascii="Tahoma" w:eastAsia="標楷體" w:hAnsi="Tahoma" w:cs="Tahoma"/>
          <w:sz w:val="20"/>
          <w:szCs w:val="20"/>
          <w:lang w:val="en-GB" w:eastAsia="zh-HK"/>
        </w:rPr>
        <w:t xml:space="preserve">identification information required shall be </w:t>
      </w:r>
      <w:r w:rsidR="00B67526" w:rsidRPr="00A23834">
        <w:rPr>
          <w:rFonts w:ascii="Tahoma" w:eastAsia="標楷體" w:hAnsi="Tahoma" w:cs="Tahoma"/>
          <w:sz w:val="20"/>
          <w:szCs w:val="20"/>
          <w:lang w:val="en-GB" w:eastAsia="zh-HK"/>
        </w:rPr>
        <w:t>included but not limited to</w:t>
      </w:r>
      <w:r w:rsidR="00460B9D" w:rsidRPr="00A23834">
        <w:rPr>
          <w:rFonts w:ascii="Tahoma" w:eastAsia="標楷體" w:hAnsi="Tahoma" w:cs="Tahoma"/>
          <w:sz w:val="20"/>
          <w:szCs w:val="20"/>
          <w:lang w:val="en-GB" w:eastAsia="zh-HK"/>
        </w:rPr>
        <w:t xml:space="preserve"> the following data:</w:t>
      </w:r>
      <w:r w:rsidR="002B56EC" w:rsidRPr="00A23834">
        <w:rPr>
          <w:rFonts w:ascii="Tahoma" w:eastAsia="標楷體" w:hAnsi="Tahoma" w:cs="Tahoma"/>
          <w:sz w:val="20"/>
          <w:szCs w:val="20"/>
          <w:lang w:val="en-GB"/>
        </w:rPr>
        <w:t xml:space="preserve"> </w:t>
      </w:r>
    </w:p>
    <w:p w14:paraId="587681A4" w14:textId="77777777" w:rsidR="00460B9D" w:rsidRPr="00A23834" w:rsidRDefault="00460B9D"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Surname;</w:t>
      </w:r>
      <w:r w:rsidR="002B56EC" w:rsidRPr="00A23834">
        <w:rPr>
          <w:rFonts w:ascii="Tahoma" w:eastAsia="標楷體" w:hAnsi="Tahoma" w:cs="Tahoma"/>
          <w:sz w:val="20"/>
          <w:szCs w:val="20"/>
          <w:lang w:val="en-GB"/>
        </w:rPr>
        <w:t xml:space="preserve"> </w:t>
      </w:r>
    </w:p>
    <w:p w14:paraId="5558634B" w14:textId="77777777" w:rsidR="00460B9D" w:rsidRPr="00A23834" w:rsidRDefault="00460B9D"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First name;</w:t>
      </w:r>
      <w:r w:rsidR="002B56EC" w:rsidRPr="00A23834">
        <w:rPr>
          <w:rFonts w:ascii="Tahoma" w:eastAsia="標楷體" w:hAnsi="Tahoma" w:cs="Tahoma"/>
          <w:sz w:val="20"/>
          <w:szCs w:val="20"/>
          <w:lang w:val="en-GB"/>
        </w:rPr>
        <w:t xml:space="preserve"> </w:t>
      </w:r>
    </w:p>
    <w:p w14:paraId="3AE61D12" w14:textId="77777777" w:rsidR="00460B9D" w:rsidRPr="00A23834" w:rsidRDefault="00460B9D"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Date of birth;</w:t>
      </w:r>
      <w:r w:rsidR="002B56EC" w:rsidRPr="00A23834">
        <w:rPr>
          <w:rFonts w:ascii="Tahoma" w:eastAsia="標楷體" w:hAnsi="Tahoma" w:cs="Tahoma"/>
          <w:sz w:val="20"/>
          <w:szCs w:val="20"/>
          <w:lang w:val="en-GB"/>
        </w:rPr>
        <w:t xml:space="preserve"> </w:t>
      </w:r>
    </w:p>
    <w:p w14:paraId="28F619CD" w14:textId="30CBF5F9" w:rsidR="00460B9D" w:rsidRPr="00A23834" w:rsidRDefault="00460B9D"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Place of birt</w:t>
      </w:r>
      <w:r w:rsidRPr="00353C9D">
        <w:rPr>
          <w:rFonts w:ascii="Tahoma" w:eastAsia="標楷體" w:hAnsi="Tahoma" w:cs="Tahoma"/>
          <w:sz w:val="20"/>
          <w:szCs w:val="20"/>
          <w:lang w:val="en-GB"/>
        </w:rPr>
        <w:t>h</w:t>
      </w:r>
      <w:r w:rsidR="005243EE" w:rsidRPr="00353C9D">
        <w:rPr>
          <w:rFonts w:ascii="Tahoma" w:eastAsia="標楷體" w:hAnsi="Tahoma" w:cs="Tahoma"/>
          <w:sz w:val="20"/>
          <w:szCs w:val="20"/>
          <w:lang w:val="en-GB"/>
        </w:rPr>
        <w:t xml:space="preserve"> (City, Country)</w:t>
      </w:r>
      <w:r w:rsidRPr="00353C9D">
        <w:rPr>
          <w:rFonts w:ascii="Tahoma" w:eastAsia="標楷體" w:hAnsi="Tahoma" w:cs="Tahoma"/>
          <w:sz w:val="20"/>
          <w:szCs w:val="20"/>
          <w:lang w:val="en-GB"/>
        </w:rPr>
        <w:t>;</w:t>
      </w:r>
      <w:r w:rsidR="002B56EC" w:rsidRPr="00353C9D">
        <w:rPr>
          <w:rFonts w:ascii="Tahoma" w:eastAsia="標楷體" w:hAnsi="Tahoma" w:cs="Tahoma"/>
          <w:sz w:val="20"/>
          <w:szCs w:val="20"/>
          <w:lang w:val="en-GB"/>
        </w:rPr>
        <w:t xml:space="preserve"> </w:t>
      </w:r>
    </w:p>
    <w:p w14:paraId="04489449" w14:textId="77777777" w:rsidR="00460B9D" w:rsidRPr="00A23834" w:rsidRDefault="0072083A"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If possible, where relevant, the address.</w:t>
      </w:r>
      <w:r w:rsidR="002B56EC" w:rsidRPr="00A23834">
        <w:rPr>
          <w:rFonts w:ascii="Tahoma" w:eastAsia="標楷體" w:hAnsi="Tahoma" w:cs="Tahoma"/>
          <w:sz w:val="20"/>
          <w:szCs w:val="20"/>
          <w:lang w:val="en-GB"/>
        </w:rPr>
        <w:t xml:space="preserve"> </w:t>
      </w:r>
    </w:p>
    <w:p w14:paraId="6F6D5A95" w14:textId="77777777" w:rsidR="00460B9D" w:rsidRPr="00A23834" w:rsidRDefault="00D7734B" w:rsidP="00677C16">
      <w:pPr>
        <w:pStyle w:val="ListParagraph"/>
        <w:numPr>
          <w:ilvl w:val="3"/>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Documents to be used for verification</w:t>
      </w:r>
      <w:r w:rsidR="002B56EC" w:rsidRPr="00A23834">
        <w:rPr>
          <w:rFonts w:ascii="Tahoma" w:eastAsia="標楷體" w:hAnsi="Tahoma" w:cs="Tahoma"/>
          <w:sz w:val="20"/>
          <w:szCs w:val="20"/>
          <w:lang w:val="en-GB"/>
        </w:rPr>
        <w:t xml:space="preserve">: </w:t>
      </w:r>
    </w:p>
    <w:p w14:paraId="5138EA75" w14:textId="77777777" w:rsidR="00D7734B" w:rsidRPr="00A23834" w:rsidRDefault="00D7734B"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Belgian residents: identity card;</w:t>
      </w:r>
      <w:r w:rsidR="002B56EC" w:rsidRPr="00A23834">
        <w:rPr>
          <w:rFonts w:ascii="Tahoma" w:eastAsia="標楷體" w:hAnsi="Tahoma" w:cs="Tahoma"/>
          <w:sz w:val="20"/>
          <w:szCs w:val="20"/>
          <w:lang w:val="en-GB"/>
        </w:rPr>
        <w:t xml:space="preserve"> </w:t>
      </w:r>
    </w:p>
    <w:p w14:paraId="0F876CBD" w14:textId="77777777" w:rsidR="00D7734B" w:rsidRPr="00A23834" w:rsidRDefault="00D7734B"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Non-Belgian residents: passport;</w:t>
      </w:r>
    </w:p>
    <w:p w14:paraId="59634728" w14:textId="77777777" w:rsidR="00460B9D" w:rsidRPr="00A23834" w:rsidRDefault="00D7734B"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Belgian residents that are foreign citizens without ID card: valid inscription in register of foreigners and valid documents that attest the legality of stay in Belgium.</w:t>
      </w:r>
    </w:p>
    <w:p w14:paraId="50ADA1B9" w14:textId="77777777" w:rsidR="00621829" w:rsidRPr="00A23834" w:rsidRDefault="00621829" w:rsidP="00677C16">
      <w:pPr>
        <w:pStyle w:val="ListParagraph"/>
        <w:snapToGrid w:val="0"/>
        <w:spacing w:line="240" w:lineRule="exact"/>
        <w:ind w:leftChars="0" w:left="1871"/>
        <w:jc w:val="both"/>
        <w:rPr>
          <w:rFonts w:ascii="Tahoma" w:eastAsia="標楷體" w:hAnsi="Tahoma" w:cs="Tahoma"/>
          <w:sz w:val="20"/>
          <w:szCs w:val="20"/>
          <w:lang w:val="en-GB"/>
        </w:rPr>
      </w:pPr>
    </w:p>
    <w:p w14:paraId="30220808" w14:textId="77777777" w:rsidR="003C32BF" w:rsidRPr="00A23834" w:rsidRDefault="003C32BF" w:rsidP="00677C16">
      <w:pPr>
        <w:pStyle w:val="ListParagraph"/>
        <w:numPr>
          <w:ilvl w:val="2"/>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Legal entity</w:t>
      </w:r>
      <w:r w:rsidR="002B56EC" w:rsidRPr="00A23834">
        <w:rPr>
          <w:rFonts w:ascii="Tahoma" w:eastAsia="標楷體" w:hAnsi="Tahoma" w:cs="Tahoma"/>
          <w:sz w:val="20"/>
          <w:szCs w:val="20"/>
          <w:lang w:val="en-GB"/>
        </w:rPr>
        <w:t>:</w:t>
      </w:r>
    </w:p>
    <w:p w14:paraId="249ADBDF" w14:textId="2B0E1ECA" w:rsidR="003C32BF" w:rsidRPr="00A23834" w:rsidRDefault="003D0DCE" w:rsidP="00677C16">
      <w:pPr>
        <w:pStyle w:val="ListParagraph"/>
        <w:numPr>
          <w:ilvl w:val="3"/>
          <w:numId w:val="5"/>
        </w:numPr>
        <w:snapToGrid w:val="0"/>
        <w:spacing w:line="240" w:lineRule="exact"/>
        <w:ind w:leftChars="0"/>
        <w:jc w:val="both"/>
        <w:rPr>
          <w:rFonts w:ascii="Tahoma" w:eastAsia="標楷體" w:hAnsi="Tahoma" w:cs="Tahoma"/>
          <w:sz w:val="20"/>
          <w:szCs w:val="20"/>
          <w:lang w:val="en-GB"/>
        </w:rPr>
      </w:pPr>
      <w:r>
        <w:rPr>
          <w:rFonts w:ascii="Tahoma" w:eastAsia="標楷體" w:hAnsi="Tahoma" w:cs="Tahoma"/>
          <w:sz w:val="20"/>
          <w:szCs w:val="20"/>
          <w:lang w:val="en-GB" w:eastAsia="zh-HK"/>
        </w:rPr>
        <w:t>T</w:t>
      </w:r>
      <w:r w:rsidR="00D7734B" w:rsidRPr="00A23834">
        <w:rPr>
          <w:rFonts w:ascii="Tahoma" w:eastAsia="標楷體" w:hAnsi="Tahoma" w:cs="Tahoma"/>
          <w:sz w:val="20"/>
          <w:szCs w:val="20"/>
          <w:lang w:val="en-GB" w:eastAsia="zh-HK"/>
        </w:rPr>
        <w:t>he identification information required shall be included but not limited to the following data:</w:t>
      </w:r>
      <w:r w:rsidR="00D234E6" w:rsidRPr="00A23834">
        <w:rPr>
          <w:rFonts w:ascii="Tahoma" w:eastAsia="標楷體" w:hAnsi="Tahoma" w:cs="Tahoma"/>
          <w:sz w:val="20"/>
          <w:szCs w:val="20"/>
          <w:lang w:eastAsia="zh-HK"/>
        </w:rPr>
        <w:t>：</w:t>
      </w:r>
    </w:p>
    <w:p w14:paraId="63F1BFFE" w14:textId="77777777" w:rsidR="00D234E6" w:rsidRPr="00A23834" w:rsidRDefault="00D7734B"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Full legal name and legal form of the applicant</w:t>
      </w:r>
      <w:r w:rsidR="002B56EC" w:rsidRPr="00A23834">
        <w:rPr>
          <w:rFonts w:ascii="Tahoma" w:eastAsia="標楷體" w:hAnsi="Tahoma" w:cs="Tahoma"/>
          <w:sz w:val="20"/>
          <w:szCs w:val="20"/>
          <w:lang w:val="en-GB"/>
        </w:rPr>
        <w:t xml:space="preserve"> </w:t>
      </w:r>
    </w:p>
    <w:p w14:paraId="4C5F6623" w14:textId="77777777" w:rsidR="00D7734B" w:rsidRPr="00A23834" w:rsidRDefault="00D7734B" w:rsidP="00677C16">
      <w:pPr>
        <w:pStyle w:val="ListParagraph"/>
        <w:numPr>
          <w:ilvl w:val="4"/>
          <w:numId w:val="5"/>
        </w:numPr>
        <w:snapToGrid w:val="0"/>
        <w:spacing w:line="240" w:lineRule="exact"/>
        <w:ind w:leftChars="0"/>
        <w:jc w:val="both"/>
        <w:rPr>
          <w:rFonts w:ascii="Tahoma" w:eastAsia="標楷體" w:hAnsi="Tahoma" w:cs="Tahoma"/>
          <w:sz w:val="20"/>
          <w:szCs w:val="20"/>
          <w:lang w:val="en-GB" w:eastAsia="zh-HK"/>
        </w:rPr>
      </w:pPr>
      <w:r w:rsidRPr="00A23834">
        <w:rPr>
          <w:rFonts w:ascii="Tahoma" w:eastAsia="標楷體" w:hAnsi="Tahoma" w:cs="Tahoma"/>
          <w:sz w:val="20"/>
          <w:szCs w:val="20"/>
          <w:lang w:val="en-GB"/>
        </w:rPr>
        <w:t>Address of the registered office of the applicant</w:t>
      </w:r>
      <w:r w:rsidR="002B56EC" w:rsidRPr="00A23834">
        <w:rPr>
          <w:rFonts w:ascii="Tahoma" w:eastAsia="標楷體" w:hAnsi="Tahoma" w:cs="Tahoma"/>
          <w:sz w:val="20"/>
          <w:szCs w:val="20"/>
          <w:lang w:val="en-GB"/>
        </w:rPr>
        <w:t>;</w:t>
      </w:r>
    </w:p>
    <w:p w14:paraId="02DE3804" w14:textId="77777777" w:rsidR="00D7734B" w:rsidRPr="00A23834" w:rsidRDefault="00D7734B"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Names of the directors of the applicant</w:t>
      </w:r>
      <w:r w:rsidR="002B56EC" w:rsidRPr="00A23834">
        <w:rPr>
          <w:rFonts w:ascii="Tahoma" w:eastAsia="標楷體" w:hAnsi="Tahoma" w:cs="Tahoma"/>
          <w:sz w:val="20"/>
          <w:szCs w:val="20"/>
          <w:lang w:val="en-GB"/>
        </w:rPr>
        <w:t xml:space="preserve"> </w:t>
      </w:r>
    </w:p>
    <w:p w14:paraId="2217A921" w14:textId="57BFE2C1" w:rsidR="00277C78" w:rsidRPr="00A23834" w:rsidRDefault="003D0DCE"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Pr>
          <w:rFonts w:ascii="Tahoma" w:eastAsia="標楷體" w:hAnsi="Tahoma" w:cs="Tahoma"/>
          <w:sz w:val="20"/>
          <w:szCs w:val="20"/>
        </w:rPr>
        <w:t>C</w:t>
      </w:r>
      <w:r w:rsidR="00277C78" w:rsidRPr="00A23834">
        <w:rPr>
          <w:rFonts w:ascii="Tahoma" w:eastAsia="標楷體" w:hAnsi="Tahoma" w:cs="Tahoma"/>
          <w:sz w:val="20"/>
          <w:szCs w:val="20"/>
        </w:rPr>
        <w:t>ertified articles of incorporation</w:t>
      </w:r>
      <w:r w:rsidR="00277C78" w:rsidRPr="00A23834">
        <w:rPr>
          <w:rFonts w:ascii="Tahoma" w:eastAsia="標楷體" w:hAnsi="Tahoma" w:cs="Tahoma"/>
          <w:sz w:val="20"/>
          <w:szCs w:val="20"/>
        </w:rPr>
        <w:t>；</w:t>
      </w:r>
    </w:p>
    <w:p w14:paraId="00C008E6" w14:textId="77777777" w:rsidR="00D7734B" w:rsidRPr="00A23834" w:rsidRDefault="00D7734B"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Powers of representations</w:t>
      </w:r>
      <w:r w:rsidR="002B56EC" w:rsidRPr="00A23834">
        <w:rPr>
          <w:rFonts w:ascii="Tahoma" w:eastAsia="標楷體" w:hAnsi="Tahoma" w:cs="Tahoma"/>
          <w:sz w:val="20"/>
          <w:szCs w:val="20"/>
          <w:lang w:val="en-GB"/>
        </w:rPr>
        <w:t xml:space="preserve"> </w:t>
      </w:r>
    </w:p>
    <w:p w14:paraId="6222029F" w14:textId="77777777" w:rsidR="00D7734B" w:rsidRPr="00A23834" w:rsidRDefault="00D7734B" w:rsidP="00677C16">
      <w:pPr>
        <w:pStyle w:val="ListParagraph"/>
        <w:numPr>
          <w:ilvl w:val="3"/>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Documents to be used for verification</w:t>
      </w:r>
      <w:r w:rsidR="002B56EC" w:rsidRPr="00A23834">
        <w:rPr>
          <w:rFonts w:ascii="Tahoma" w:eastAsia="標楷體" w:hAnsi="Tahoma" w:cs="Tahoma"/>
          <w:sz w:val="20"/>
          <w:szCs w:val="20"/>
          <w:lang w:val="en-GB"/>
        </w:rPr>
        <w:t xml:space="preserve"> </w:t>
      </w:r>
    </w:p>
    <w:p w14:paraId="4DCB67E7" w14:textId="77777777" w:rsidR="008A78F4" w:rsidRPr="00A23834" w:rsidRDefault="008A78F4"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The verification must be performed using documents that have probative value pursuant to law of the country in which the legal entity is established</w:t>
      </w:r>
      <w:r w:rsidR="00277C78" w:rsidRPr="00A23834">
        <w:rPr>
          <w:rFonts w:ascii="Tahoma" w:eastAsia="標楷體" w:hAnsi="Tahoma" w:cs="Tahoma"/>
          <w:sz w:val="20"/>
          <w:szCs w:val="20"/>
          <w:lang w:val="en-GB"/>
        </w:rPr>
        <w:t xml:space="preserve"> </w:t>
      </w:r>
      <w:r w:rsidR="00277C78" w:rsidRPr="00A23834">
        <w:rPr>
          <w:rFonts w:ascii="Tahoma" w:eastAsia="標楷體" w:hAnsi="Tahoma" w:cs="Tahoma"/>
          <w:sz w:val="20"/>
          <w:szCs w:val="20"/>
          <w:lang w:val="en-GB" w:eastAsia="zh-HK"/>
        </w:rPr>
        <w:t>or registered</w:t>
      </w:r>
      <w:r w:rsidR="002B56EC" w:rsidRPr="00A23834">
        <w:rPr>
          <w:rFonts w:ascii="Tahoma" w:eastAsia="標楷體" w:hAnsi="Tahoma" w:cs="Tahoma"/>
          <w:sz w:val="20"/>
          <w:szCs w:val="20"/>
          <w:lang w:val="en-GB" w:eastAsia="zh-HK"/>
        </w:rPr>
        <w:t>.</w:t>
      </w:r>
    </w:p>
    <w:p w14:paraId="0F5DDB91" w14:textId="62C809B8" w:rsidR="008A78F4" w:rsidRPr="00A23834" w:rsidRDefault="008A78F4"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The documents can be obtained from customers, official sources or other sources considered as reliable. If the documents are provided by the customer (or his</w:t>
      </w:r>
      <w:r w:rsidR="006229C6">
        <w:rPr>
          <w:rFonts w:ascii="Tahoma" w:eastAsia="標楷體" w:hAnsi="Tahoma" w:cs="Tahoma"/>
          <w:sz w:val="20"/>
          <w:szCs w:val="20"/>
          <w:lang w:val="en-GB"/>
        </w:rPr>
        <w:t>/her</w:t>
      </w:r>
      <w:r w:rsidRPr="00A23834">
        <w:rPr>
          <w:rFonts w:ascii="Tahoma" w:eastAsia="標楷體" w:hAnsi="Tahoma" w:cs="Tahoma"/>
          <w:sz w:val="20"/>
          <w:szCs w:val="20"/>
          <w:lang w:val="en-GB"/>
        </w:rPr>
        <w:t xml:space="preserve"> representative), reasonable measures must be taken to ensure reliability of the information contained in the documents</w:t>
      </w:r>
      <w:r w:rsidR="008C1F96" w:rsidRPr="00A23834">
        <w:rPr>
          <w:rFonts w:ascii="Tahoma" w:eastAsia="標楷體" w:hAnsi="Tahoma" w:cs="Tahoma"/>
          <w:sz w:val="20"/>
          <w:szCs w:val="20"/>
          <w:lang w:val="en-GB"/>
        </w:rPr>
        <w:t>.</w:t>
      </w:r>
      <w:r w:rsidR="002B56EC" w:rsidRPr="00A23834">
        <w:rPr>
          <w:rFonts w:ascii="Tahoma" w:eastAsia="標楷體" w:hAnsi="Tahoma" w:cs="Tahoma"/>
          <w:sz w:val="20"/>
          <w:szCs w:val="20"/>
          <w:lang w:val="en-GB"/>
        </w:rPr>
        <w:t xml:space="preserve"> </w:t>
      </w:r>
    </w:p>
    <w:p w14:paraId="1EBD0A91" w14:textId="77777777" w:rsidR="00D7734B" w:rsidRPr="00A23834" w:rsidRDefault="008A78F4"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The documents must be provided in a language that allows the performance of the verification and the execution of internal control measures.</w:t>
      </w:r>
      <w:r w:rsidR="002B56EC" w:rsidRPr="00A23834">
        <w:rPr>
          <w:rFonts w:ascii="Tahoma" w:eastAsia="標楷體" w:hAnsi="Tahoma" w:cs="Tahoma"/>
          <w:sz w:val="20"/>
          <w:szCs w:val="20"/>
          <w:lang w:val="en-GB"/>
        </w:rPr>
        <w:t xml:space="preserve"> </w:t>
      </w:r>
    </w:p>
    <w:p w14:paraId="554B1BB1" w14:textId="77777777" w:rsidR="00621829" w:rsidRPr="00A23834" w:rsidRDefault="00621829" w:rsidP="00677C16">
      <w:pPr>
        <w:pStyle w:val="ListParagraph"/>
        <w:snapToGrid w:val="0"/>
        <w:spacing w:line="240" w:lineRule="exact"/>
        <w:ind w:leftChars="0" w:left="1871"/>
        <w:jc w:val="both"/>
        <w:rPr>
          <w:rFonts w:ascii="Tahoma" w:eastAsia="標楷體" w:hAnsi="Tahoma" w:cs="Tahoma"/>
          <w:sz w:val="20"/>
          <w:szCs w:val="20"/>
          <w:lang w:val="en-GB"/>
        </w:rPr>
      </w:pPr>
    </w:p>
    <w:p w14:paraId="3D7225ED" w14:textId="672EFB34" w:rsidR="003C32BF" w:rsidRPr="00A23834" w:rsidRDefault="003C32BF" w:rsidP="00677C16">
      <w:pPr>
        <w:pStyle w:val="ListParagraph"/>
        <w:numPr>
          <w:ilvl w:val="1"/>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Identification and verification of the representative/proxy identity:</w:t>
      </w:r>
      <w:r w:rsidR="002B56EC" w:rsidRPr="00A23834">
        <w:rPr>
          <w:rFonts w:ascii="Tahoma" w:eastAsia="標楷體" w:hAnsi="Tahoma" w:cs="Tahoma"/>
          <w:sz w:val="20"/>
          <w:szCs w:val="20"/>
          <w:lang w:val="en-GB"/>
        </w:rPr>
        <w:t xml:space="preserve"> </w:t>
      </w:r>
    </w:p>
    <w:p w14:paraId="5F25B9A8" w14:textId="776AE8DE" w:rsidR="00DF3CA6" w:rsidRPr="00A23834" w:rsidRDefault="00541A71" w:rsidP="00677C16">
      <w:pPr>
        <w:pStyle w:val="ListParagraph"/>
        <w:numPr>
          <w:ilvl w:val="2"/>
          <w:numId w:val="5"/>
        </w:numPr>
        <w:snapToGrid w:val="0"/>
        <w:spacing w:line="240" w:lineRule="exact"/>
        <w:ind w:leftChars="0"/>
        <w:jc w:val="both"/>
        <w:rPr>
          <w:rFonts w:ascii="Tahoma" w:eastAsia="標楷體" w:hAnsi="Tahoma" w:cs="Tahoma"/>
          <w:sz w:val="20"/>
          <w:szCs w:val="20"/>
          <w:lang w:val="en-GB"/>
        </w:rPr>
      </w:pPr>
      <w:r>
        <w:rPr>
          <w:rFonts w:ascii="Tahoma" w:eastAsia="標楷體" w:hAnsi="Tahoma" w:cs="Tahoma"/>
          <w:sz w:val="20"/>
          <w:szCs w:val="20"/>
          <w:lang w:val="en-GB" w:eastAsia="zh-HK"/>
        </w:rPr>
        <w:t>T</w:t>
      </w:r>
      <w:r w:rsidR="00DF3CA6" w:rsidRPr="00A23834">
        <w:rPr>
          <w:rFonts w:ascii="Tahoma" w:eastAsia="標楷體" w:hAnsi="Tahoma" w:cs="Tahoma"/>
          <w:sz w:val="20"/>
          <w:szCs w:val="20"/>
          <w:lang w:val="en-GB" w:eastAsia="zh-HK"/>
        </w:rPr>
        <w:t>he identification information required shall be included but not limited to the following data:</w:t>
      </w:r>
      <w:r w:rsidR="002B56EC" w:rsidRPr="00A23834">
        <w:rPr>
          <w:rFonts w:ascii="Tahoma" w:eastAsia="標楷體" w:hAnsi="Tahoma" w:cs="Tahoma"/>
          <w:sz w:val="20"/>
          <w:szCs w:val="20"/>
          <w:lang w:val="en-GB"/>
        </w:rPr>
        <w:t xml:space="preserve"> </w:t>
      </w:r>
    </w:p>
    <w:p w14:paraId="45504396" w14:textId="77777777" w:rsidR="00DF3CA6" w:rsidRPr="00A23834" w:rsidRDefault="00DF3CA6" w:rsidP="00677C16">
      <w:pPr>
        <w:pStyle w:val="ListParagraph"/>
        <w:numPr>
          <w:ilvl w:val="3"/>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Natural person</w:t>
      </w:r>
      <w:r w:rsidR="00092BC9" w:rsidRPr="00A23834">
        <w:rPr>
          <w:rFonts w:ascii="Tahoma" w:eastAsia="標楷體" w:hAnsi="Tahoma" w:cs="Tahoma"/>
          <w:sz w:val="20"/>
          <w:szCs w:val="20"/>
          <w:lang w:val="en-GB"/>
        </w:rPr>
        <w:t>:</w:t>
      </w:r>
      <w:r w:rsidR="002B56EC" w:rsidRPr="00A23834">
        <w:rPr>
          <w:rFonts w:ascii="Tahoma" w:eastAsia="標楷體" w:hAnsi="Tahoma" w:cs="Tahoma"/>
          <w:sz w:val="20"/>
          <w:szCs w:val="20"/>
          <w:lang w:val="en-GB"/>
        </w:rPr>
        <w:t xml:space="preserve"> </w:t>
      </w:r>
    </w:p>
    <w:p w14:paraId="333DBE5D" w14:textId="77777777" w:rsidR="00DF3CA6" w:rsidRPr="00A23834" w:rsidRDefault="00AB48A5"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Surname</w:t>
      </w:r>
      <w:r w:rsidR="00092BC9" w:rsidRPr="00A23834">
        <w:rPr>
          <w:rFonts w:ascii="Tahoma" w:eastAsia="標楷體" w:hAnsi="Tahoma" w:cs="Tahoma"/>
          <w:sz w:val="20"/>
          <w:szCs w:val="20"/>
          <w:lang w:val="en-GB"/>
        </w:rPr>
        <w:t>;</w:t>
      </w:r>
      <w:r w:rsidR="002B56EC" w:rsidRPr="00A23834">
        <w:rPr>
          <w:rFonts w:ascii="Tahoma" w:eastAsia="標楷體" w:hAnsi="Tahoma" w:cs="Tahoma"/>
          <w:sz w:val="20"/>
          <w:szCs w:val="20"/>
          <w:lang w:val="en-GB"/>
        </w:rPr>
        <w:t xml:space="preserve"> </w:t>
      </w:r>
    </w:p>
    <w:p w14:paraId="62BCCCB3" w14:textId="77777777" w:rsidR="00DF3CA6" w:rsidRPr="00A23834" w:rsidRDefault="00AB48A5"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First name</w:t>
      </w:r>
      <w:r w:rsidR="00092BC9" w:rsidRPr="00A23834">
        <w:rPr>
          <w:rFonts w:ascii="Tahoma" w:eastAsia="標楷體" w:hAnsi="Tahoma" w:cs="Tahoma"/>
          <w:sz w:val="20"/>
          <w:szCs w:val="20"/>
          <w:lang w:val="en-GB"/>
        </w:rPr>
        <w:t>;</w:t>
      </w:r>
      <w:r w:rsidR="002B56EC" w:rsidRPr="00A23834">
        <w:rPr>
          <w:rFonts w:ascii="Tahoma" w:eastAsia="標楷體" w:hAnsi="Tahoma" w:cs="Tahoma"/>
          <w:sz w:val="20"/>
          <w:szCs w:val="20"/>
          <w:lang w:val="en-GB"/>
        </w:rPr>
        <w:t xml:space="preserve"> </w:t>
      </w:r>
    </w:p>
    <w:p w14:paraId="0005E3D8" w14:textId="77777777" w:rsidR="00DF3CA6" w:rsidRPr="00A23834" w:rsidRDefault="00DF3CA6"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Date of birth</w:t>
      </w:r>
      <w:r w:rsidR="00092BC9" w:rsidRPr="00A23834">
        <w:rPr>
          <w:rFonts w:ascii="Tahoma" w:eastAsia="標楷體" w:hAnsi="Tahoma" w:cs="Tahoma"/>
          <w:sz w:val="20"/>
          <w:szCs w:val="20"/>
          <w:lang w:val="en-GB"/>
        </w:rPr>
        <w:t>;</w:t>
      </w:r>
      <w:r w:rsidR="002B56EC" w:rsidRPr="00A23834">
        <w:rPr>
          <w:rFonts w:ascii="Tahoma" w:eastAsia="標楷體" w:hAnsi="Tahoma" w:cs="Tahoma"/>
          <w:sz w:val="20"/>
          <w:szCs w:val="20"/>
          <w:lang w:val="en-GB"/>
        </w:rPr>
        <w:t xml:space="preserve"> </w:t>
      </w:r>
    </w:p>
    <w:p w14:paraId="7D028FC2" w14:textId="0C38D98B" w:rsidR="00DF3CA6" w:rsidRPr="00A23834" w:rsidRDefault="00DF3CA6"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Place of birth</w:t>
      </w:r>
      <w:r w:rsidR="005243EE" w:rsidRPr="00353C9D">
        <w:rPr>
          <w:rFonts w:ascii="Tahoma" w:eastAsia="標楷體" w:hAnsi="Tahoma" w:cs="Tahoma"/>
          <w:sz w:val="20"/>
          <w:szCs w:val="20"/>
          <w:lang w:val="en-GB"/>
        </w:rPr>
        <w:t xml:space="preserve"> (City, Country)</w:t>
      </w:r>
      <w:r w:rsidR="00092BC9" w:rsidRPr="00353C9D">
        <w:rPr>
          <w:rFonts w:ascii="Tahoma" w:eastAsia="標楷體" w:hAnsi="Tahoma" w:cs="Tahoma"/>
          <w:sz w:val="20"/>
          <w:szCs w:val="20"/>
          <w:lang w:val="en-GB"/>
        </w:rPr>
        <w:t>;</w:t>
      </w:r>
      <w:r w:rsidR="002B56EC" w:rsidRPr="00A23834">
        <w:rPr>
          <w:rFonts w:ascii="Tahoma" w:eastAsia="標楷體" w:hAnsi="Tahoma" w:cs="Tahoma"/>
          <w:sz w:val="20"/>
          <w:szCs w:val="20"/>
          <w:lang w:val="en-GB"/>
        </w:rPr>
        <w:t xml:space="preserve"> </w:t>
      </w:r>
    </w:p>
    <w:p w14:paraId="665211D1" w14:textId="77777777" w:rsidR="00DF3CA6" w:rsidRPr="00A23834" w:rsidRDefault="00DF3CA6"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Address of the place of residence (to the extent possible)</w:t>
      </w:r>
      <w:r w:rsidR="00092BC9" w:rsidRPr="00A23834">
        <w:rPr>
          <w:rFonts w:ascii="Tahoma" w:eastAsia="標楷體" w:hAnsi="Tahoma" w:cs="Tahoma"/>
          <w:sz w:val="20"/>
          <w:szCs w:val="20"/>
          <w:lang w:val="en-GB"/>
        </w:rPr>
        <w:t>;</w:t>
      </w:r>
      <w:r w:rsidR="002B56EC" w:rsidRPr="00A23834">
        <w:rPr>
          <w:rFonts w:ascii="Tahoma" w:eastAsia="標楷體" w:hAnsi="Tahoma" w:cs="Tahoma"/>
          <w:sz w:val="20"/>
          <w:szCs w:val="20"/>
          <w:lang w:val="en-GB"/>
        </w:rPr>
        <w:t xml:space="preserve"> </w:t>
      </w:r>
    </w:p>
    <w:p w14:paraId="75826ECA" w14:textId="77777777" w:rsidR="008A78F4" w:rsidRPr="00A23834" w:rsidRDefault="00DF3CA6"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Powers of representation</w:t>
      </w:r>
      <w:r w:rsidR="00092BC9" w:rsidRPr="00A23834">
        <w:rPr>
          <w:rFonts w:ascii="Tahoma" w:eastAsia="標楷體" w:hAnsi="Tahoma" w:cs="Tahoma"/>
          <w:sz w:val="20"/>
          <w:szCs w:val="20"/>
          <w:lang w:val="en-GB"/>
        </w:rPr>
        <w:t>.</w:t>
      </w:r>
      <w:r w:rsidR="002B56EC" w:rsidRPr="00A23834">
        <w:rPr>
          <w:rFonts w:ascii="Tahoma" w:eastAsia="標楷體" w:hAnsi="Tahoma" w:cs="Tahoma"/>
          <w:sz w:val="20"/>
          <w:szCs w:val="20"/>
          <w:lang w:val="en-GB"/>
        </w:rPr>
        <w:t xml:space="preserve"> </w:t>
      </w:r>
    </w:p>
    <w:p w14:paraId="27E142DB" w14:textId="77777777" w:rsidR="003C32BF" w:rsidRPr="00A23834" w:rsidRDefault="003C32BF" w:rsidP="00677C16">
      <w:pPr>
        <w:pStyle w:val="ListParagraph"/>
        <w:numPr>
          <w:ilvl w:val="3"/>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Legal entity</w:t>
      </w:r>
      <w:r w:rsidR="002B56EC" w:rsidRPr="00A23834">
        <w:rPr>
          <w:rFonts w:ascii="Tahoma" w:eastAsia="標楷體" w:hAnsi="Tahoma" w:cs="Tahoma"/>
          <w:sz w:val="20"/>
          <w:szCs w:val="20"/>
          <w:lang w:val="en-GB"/>
        </w:rPr>
        <w:t xml:space="preserve">: </w:t>
      </w:r>
    </w:p>
    <w:p w14:paraId="07CE8EA0" w14:textId="77777777" w:rsidR="00DF3CA6" w:rsidRPr="00A23834" w:rsidRDefault="00DF3CA6"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Full legal name and legal form of the applicant</w:t>
      </w:r>
      <w:r w:rsidR="00092BC9" w:rsidRPr="00A23834">
        <w:rPr>
          <w:rFonts w:ascii="Tahoma" w:eastAsia="標楷體" w:hAnsi="Tahoma" w:cs="Tahoma"/>
          <w:sz w:val="20"/>
          <w:szCs w:val="20"/>
          <w:lang w:val="en-GB"/>
        </w:rPr>
        <w:t>;</w:t>
      </w:r>
      <w:r w:rsidR="002B56EC" w:rsidRPr="00A23834">
        <w:rPr>
          <w:rFonts w:ascii="Tahoma" w:eastAsia="標楷體" w:hAnsi="Tahoma" w:cs="Tahoma"/>
          <w:sz w:val="20"/>
          <w:szCs w:val="20"/>
          <w:lang w:val="en-GB"/>
        </w:rPr>
        <w:t xml:space="preserve"> </w:t>
      </w:r>
    </w:p>
    <w:p w14:paraId="1A42330B" w14:textId="77777777" w:rsidR="00DF3CA6" w:rsidRPr="00A23834" w:rsidRDefault="00DF3CA6"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Address of the registered office of the applicant</w:t>
      </w:r>
      <w:r w:rsidR="00092BC9" w:rsidRPr="00A23834">
        <w:rPr>
          <w:rFonts w:ascii="Tahoma" w:eastAsia="標楷體" w:hAnsi="Tahoma" w:cs="Tahoma"/>
          <w:sz w:val="20"/>
          <w:szCs w:val="20"/>
          <w:lang w:val="en-GB"/>
        </w:rPr>
        <w:t>;</w:t>
      </w:r>
      <w:r w:rsidR="002B56EC" w:rsidRPr="00A23834">
        <w:rPr>
          <w:rFonts w:ascii="Tahoma" w:eastAsia="標楷體" w:hAnsi="Tahoma" w:cs="Tahoma"/>
          <w:sz w:val="20"/>
          <w:szCs w:val="20"/>
          <w:lang w:val="en-GB"/>
        </w:rPr>
        <w:t xml:space="preserve"> </w:t>
      </w:r>
    </w:p>
    <w:p w14:paraId="78ACF932" w14:textId="77777777" w:rsidR="00DF3CA6" w:rsidRPr="00A23834" w:rsidRDefault="00DF3CA6"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Names of the directors of the applicant</w:t>
      </w:r>
      <w:r w:rsidR="00092BC9" w:rsidRPr="00A23834">
        <w:rPr>
          <w:rFonts w:ascii="Tahoma" w:eastAsia="標楷體" w:hAnsi="Tahoma" w:cs="Tahoma"/>
          <w:sz w:val="20"/>
          <w:szCs w:val="20"/>
          <w:lang w:val="en-GB"/>
        </w:rPr>
        <w:t>;</w:t>
      </w:r>
      <w:r w:rsidR="002B56EC" w:rsidRPr="00A23834">
        <w:rPr>
          <w:rFonts w:ascii="Tahoma" w:eastAsia="標楷體" w:hAnsi="Tahoma" w:cs="Tahoma"/>
          <w:sz w:val="20"/>
          <w:szCs w:val="20"/>
          <w:lang w:val="en-GB"/>
        </w:rPr>
        <w:t xml:space="preserve"> </w:t>
      </w:r>
    </w:p>
    <w:p w14:paraId="1EE0E8F4" w14:textId="5B7475EC" w:rsidR="00EC40AE" w:rsidRPr="00A23834" w:rsidRDefault="00C827A0" w:rsidP="00677C16">
      <w:pPr>
        <w:pStyle w:val="ListParagraph"/>
        <w:numPr>
          <w:ilvl w:val="4"/>
          <w:numId w:val="5"/>
        </w:numPr>
        <w:snapToGrid w:val="0"/>
        <w:spacing w:line="240" w:lineRule="exact"/>
        <w:ind w:leftChars="0"/>
        <w:jc w:val="both"/>
        <w:rPr>
          <w:rFonts w:ascii="Tahoma" w:eastAsia="標楷體" w:hAnsi="Tahoma" w:cs="Tahoma"/>
          <w:sz w:val="20"/>
          <w:szCs w:val="20"/>
          <w:lang w:val="en-GB"/>
        </w:rPr>
      </w:pPr>
      <w:r>
        <w:rPr>
          <w:rFonts w:ascii="Tahoma" w:eastAsia="標楷體" w:hAnsi="Tahoma" w:cs="Tahoma"/>
          <w:sz w:val="20"/>
          <w:szCs w:val="20"/>
        </w:rPr>
        <w:t>C</w:t>
      </w:r>
      <w:r w:rsidR="00EC40AE" w:rsidRPr="00A23834">
        <w:rPr>
          <w:rFonts w:ascii="Tahoma" w:eastAsia="標楷體" w:hAnsi="Tahoma" w:cs="Tahoma"/>
          <w:sz w:val="20"/>
          <w:szCs w:val="20"/>
        </w:rPr>
        <w:t>ertified articles of incorporation;</w:t>
      </w:r>
    </w:p>
    <w:p w14:paraId="3555A0CC" w14:textId="77777777" w:rsidR="003C32BF" w:rsidRPr="00A23834" w:rsidRDefault="00DF3CA6" w:rsidP="00677C16">
      <w:pPr>
        <w:pStyle w:val="ListParagraph"/>
        <w:numPr>
          <w:ilvl w:val="4"/>
          <w:numId w:val="5"/>
        </w:numPr>
        <w:snapToGrid w:val="0"/>
        <w:spacing w:line="240" w:lineRule="exact"/>
        <w:ind w:leftChars="0"/>
        <w:jc w:val="both"/>
        <w:rPr>
          <w:rFonts w:ascii="Tahoma" w:eastAsia="標楷體" w:hAnsi="Tahoma" w:cs="Tahoma"/>
          <w:sz w:val="20"/>
          <w:szCs w:val="20"/>
          <w:lang w:val="en-GB" w:eastAsia="zh-HK"/>
        </w:rPr>
      </w:pPr>
      <w:r w:rsidRPr="00A23834">
        <w:rPr>
          <w:rFonts w:ascii="Tahoma" w:eastAsia="標楷體" w:hAnsi="Tahoma" w:cs="Tahoma"/>
          <w:sz w:val="20"/>
          <w:szCs w:val="20"/>
          <w:lang w:val="en-GB" w:eastAsia="zh-HK"/>
        </w:rPr>
        <w:t>Powers of representation</w:t>
      </w:r>
      <w:r w:rsidR="00092BC9" w:rsidRPr="00A23834">
        <w:rPr>
          <w:rFonts w:ascii="Tahoma" w:eastAsia="標楷體" w:hAnsi="Tahoma" w:cs="Tahoma"/>
          <w:sz w:val="20"/>
          <w:szCs w:val="20"/>
          <w:lang w:val="en-GB" w:eastAsia="zh-HK"/>
        </w:rPr>
        <w:t>.</w:t>
      </w:r>
      <w:r w:rsidR="002B56EC" w:rsidRPr="00A23834">
        <w:rPr>
          <w:rFonts w:ascii="Tahoma" w:eastAsia="標楷體" w:hAnsi="Tahoma" w:cs="Tahoma"/>
          <w:sz w:val="20"/>
          <w:szCs w:val="20"/>
          <w:lang w:val="en-GB" w:eastAsia="zh-HK"/>
        </w:rPr>
        <w:t xml:space="preserve"> </w:t>
      </w:r>
    </w:p>
    <w:p w14:paraId="310688E1" w14:textId="77777777" w:rsidR="00DF3CA6" w:rsidRPr="00A23834" w:rsidRDefault="00DF3CA6" w:rsidP="00677C16">
      <w:pPr>
        <w:pStyle w:val="ListParagraph"/>
        <w:numPr>
          <w:ilvl w:val="2"/>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Documents to be used for verification</w:t>
      </w:r>
      <w:r w:rsidR="00D51132" w:rsidRPr="00A23834">
        <w:rPr>
          <w:rFonts w:ascii="Tahoma" w:eastAsia="標楷體" w:hAnsi="Tahoma" w:cs="Tahoma"/>
          <w:sz w:val="20"/>
          <w:szCs w:val="20"/>
          <w:lang w:val="en-GB"/>
        </w:rPr>
        <w:t xml:space="preserve">: </w:t>
      </w:r>
    </w:p>
    <w:p w14:paraId="62BDE040" w14:textId="77777777" w:rsidR="00DF3CA6" w:rsidRPr="00A23834" w:rsidRDefault="00DF3CA6" w:rsidP="00677C16">
      <w:pPr>
        <w:pStyle w:val="ListParagraph"/>
        <w:numPr>
          <w:ilvl w:val="3"/>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lastRenderedPageBreak/>
        <w:t>Depending on the method identification (face-to-face identification vs non-face-to-face identification), different verification measures must be applied.</w:t>
      </w:r>
      <w:r w:rsidR="00D51132" w:rsidRPr="00A23834">
        <w:rPr>
          <w:rFonts w:ascii="Tahoma" w:eastAsia="標楷體" w:hAnsi="Tahoma" w:cs="Tahoma"/>
          <w:sz w:val="20"/>
          <w:szCs w:val="20"/>
          <w:lang w:val="en-GB"/>
        </w:rPr>
        <w:t xml:space="preserve"> </w:t>
      </w:r>
    </w:p>
    <w:p w14:paraId="2950E027" w14:textId="77777777" w:rsidR="00DF3CA6" w:rsidRPr="00A23834" w:rsidRDefault="00DF3CA6" w:rsidP="00677C16">
      <w:pPr>
        <w:pStyle w:val="ListParagraph"/>
        <w:numPr>
          <w:ilvl w:val="3"/>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In case of face-to-face identification, reasonable measures must be applied to verify the reliability of the provided documents, such as checking the security features of documents and performing a loss/theft check on the documents (if possible).</w:t>
      </w:r>
      <w:r w:rsidR="00D51132" w:rsidRPr="00A23834">
        <w:rPr>
          <w:rFonts w:ascii="Tahoma" w:eastAsia="標楷體" w:hAnsi="Tahoma" w:cs="Tahoma"/>
          <w:sz w:val="20"/>
          <w:szCs w:val="20"/>
          <w:lang w:val="en-GB"/>
        </w:rPr>
        <w:t xml:space="preserve"> </w:t>
      </w:r>
    </w:p>
    <w:p w14:paraId="1EB3F709" w14:textId="77777777" w:rsidR="003C32BF" w:rsidRPr="00A23834" w:rsidRDefault="00DF3CA6" w:rsidP="00677C16">
      <w:pPr>
        <w:pStyle w:val="ListParagraph"/>
        <w:numPr>
          <w:ilvl w:val="3"/>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The documents that are provided must be valid.</w:t>
      </w:r>
      <w:r w:rsidR="00D51132" w:rsidRPr="00A23834">
        <w:rPr>
          <w:rFonts w:ascii="Tahoma" w:eastAsia="標楷體" w:hAnsi="Tahoma" w:cs="Tahoma"/>
          <w:sz w:val="20"/>
          <w:szCs w:val="20"/>
          <w:lang w:val="en-GB"/>
        </w:rPr>
        <w:t xml:space="preserve"> </w:t>
      </w:r>
    </w:p>
    <w:p w14:paraId="7918D6F4" w14:textId="77777777" w:rsidR="00621829" w:rsidRPr="00A23834" w:rsidRDefault="00621829" w:rsidP="00677C16">
      <w:pPr>
        <w:pStyle w:val="ListParagraph"/>
        <w:snapToGrid w:val="0"/>
        <w:spacing w:line="240" w:lineRule="exact"/>
        <w:ind w:leftChars="0" w:left="1446"/>
        <w:jc w:val="both"/>
        <w:rPr>
          <w:rFonts w:ascii="Tahoma" w:eastAsia="標楷體" w:hAnsi="Tahoma" w:cs="Tahoma"/>
          <w:sz w:val="20"/>
          <w:szCs w:val="20"/>
          <w:lang w:val="en-GB"/>
        </w:rPr>
      </w:pPr>
    </w:p>
    <w:p w14:paraId="48FB41CE" w14:textId="1DDCC085" w:rsidR="003C32BF" w:rsidRPr="00A23834" w:rsidRDefault="003C32BF" w:rsidP="00677C16">
      <w:pPr>
        <w:pStyle w:val="ListParagraph"/>
        <w:numPr>
          <w:ilvl w:val="1"/>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Identification and verification of the Ultimate beneficial owner (UBO) identity:</w:t>
      </w:r>
      <w:r w:rsidR="00996908" w:rsidRPr="00A23834">
        <w:rPr>
          <w:rFonts w:ascii="Tahoma" w:eastAsia="標楷體" w:hAnsi="Tahoma" w:cs="Tahoma"/>
          <w:sz w:val="20"/>
          <w:szCs w:val="20"/>
          <w:lang w:val="en-GB"/>
        </w:rPr>
        <w:t xml:space="preserve"> </w:t>
      </w:r>
    </w:p>
    <w:p w14:paraId="6A185CB7" w14:textId="38D2635E" w:rsidR="003C32BF" w:rsidRPr="00A23834" w:rsidRDefault="00C827A0" w:rsidP="00677C16">
      <w:pPr>
        <w:pStyle w:val="ListParagraph"/>
        <w:numPr>
          <w:ilvl w:val="2"/>
          <w:numId w:val="5"/>
        </w:numPr>
        <w:snapToGrid w:val="0"/>
        <w:spacing w:line="240" w:lineRule="exact"/>
        <w:ind w:leftChars="0"/>
        <w:jc w:val="both"/>
        <w:rPr>
          <w:rFonts w:ascii="Tahoma" w:eastAsia="標楷體" w:hAnsi="Tahoma" w:cs="Tahoma"/>
          <w:sz w:val="20"/>
          <w:szCs w:val="20"/>
          <w:lang w:val="en-GB"/>
        </w:rPr>
      </w:pPr>
      <w:r>
        <w:rPr>
          <w:rFonts w:ascii="Tahoma" w:eastAsia="標楷體" w:hAnsi="Tahoma" w:cs="Tahoma"/>
          <w:sz w:val="20"/>
          <w:szCs w:val="20"/>
          <w:lang w:val="en-GB" w:eastAsia="zh-HK"/>
        </w:rPr>
        <w:t>T</w:t>
      </w:r>
      <w:r w:rsidR="00465106" w:rsidRPr="00A23834">
        <w:rPr>
          <w:rFonts w:ascii="Tahoma" w:eastAsia="標楷體" w:hAnsi="Tahoma" w:cs="Tahoma"/>
          <w:sz w:val="20"/>
          <w:szCs w:val="20"/>
          <w:lang w:val="en-GB" w:eastAsia="zh-HK"/>
        </w:rPr>
        <w:t>he identification information required shall be included but not limited to the following data:</w:t>
      </w:r>
      <w:r w:rsidR="00996908" w:rsidRPr="00A23834">
        <w:rPr>
          <w:rFonts w:ascii="Tahoma" w:eastAsia="標楷體" w:hAnsi="Tahoma" w:cs="Tahoma"/>
          <w:sz w:val="20"/>
          <w:szCs w:val="20"/>
          <w:lang w:val="en-GB"/>
        </w:rPr>
        <w:t xml:space="preserve"> </w:t>
      </w:r>
    </w:p>
    <w:p w14:paraId="43A9D35D" w14:textId="77777777" w:rsidR="00465106" w:rsidRPr="00A23834" w:rsidRDefault="00AB48A5" w:rsidP="00677C16">
      <w:pPr>
        <w:pStyle w:val="ListParagraph"/>
        <w:numPr>
          <w:ilvl w:val="3"/>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Surname</w:t>
      </w:r>
      <w:r w:rsidR="00996908" w:rsidRPr="00A23834">
        <w:rPr>
          <w:rFonts w:ascii="Tahoma" w:eastAsia="標楷體" w:hAnsi="Tahoma" w:cs="Tahoma"/>
          <w:sz w:val="20"/>
          <w:szCs w:val="20"/>
          <w:lang w:val="en-GB"/>
        </w:rPr>
        <w:t xml:space="preserve"> </w:t>
      </w:r>
    </w:p>
    <w:p w14:paraId="651E6C6D" w14:textId="77777777" w:rsidR="00465106" w:rsidRPr="00A23834" w:rsidRDefault="00AB48A5" w:rsidP="00677C16">
      <w:pPr>
        <w:pStyle w:val="ListParagraph"/>
        <w:numPr>
          <w:ilvl w:val="3"/>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First name</w:t>
      </w:r>
      <w:r w:rsidR="00996908" w:rsidRPr="00A23834">
        <w:rPr>
          <w:rFonts w:ascii="Tahoma" w:eastAsia="標楷體" w:hAnsi="Tahoma" w:cs="Tahoma"/>
          <w:sz w:val="20"/>
          <w:szCs w:val="20"/>
          <w:lang w:val="en-GB"/>
        </w:rPr>
        <w:t xml:space="preserve"> </w:t>
      </w:r>
    </w:p>
    <w:p w14:paraId="5B32830A" w14:textId="77777777" w:rsidR="00465106" w:rsidRPr="00A23834" w:rsidRDefault="00465106" w:rsidP="00677C16">
      <w:pPr>
        <w:pStyle w:val="ListParagraph"/>
        <w:numPr>
          <w:ilvl w:val="3"/>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Date of birth (to the extent possible)</w:t>
      </w:r>
      <w:r w:rsidR="00996908" w:rsidRPr="00A23834">
        <w:rPr>
          <w:rFonts w:ascii="Tahoma" w:eastAsia="標楷體" w:hAnsi="Tahoma" w:cs="Tahoma"/>
          <w:sz w:val="20"/>
          <w:szCs w:val="20"/>
          <w:lang w:val="en-GB"/>
        </w:rPr>
        <w:t xml:space="preserve"> </w:t>
      </w:r>
    </w:p>
    <w:p w14:paraId="3BD9F09F" w14:textId="69A9FA33" w:rsidR="00465106" w:rsidRPr="00A23834" w:rsidRDefault="00465106" w:rsidP="006229C6">
      <w:pPr>
        <w:pStyle w:val="ListParagraph"/>
        <w:numPr>
          <w:ilvl w:val="3"/>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Place of birth</w:t>
      </w:r>
      <w:r w:rsidRPr="00353C9D">
        <w:rPr>
          <w:rFonts w:ascii="Tahoma" w:eastAsia="標楷體" w:hAnsi="Tahoma" w:cs="Tahoma"/>
          <w:sz w:val="20"/>
          <w:szCs w:val="20"/>
          <w:lang w:val="en-GB"/>
        </w:rPr>
        <w:t xml:space="preserve"> (</w:t>
      </w:r>
      <w:r w:rsidR="006229C6" w:rsidRPr="00353C9D">
        <w:rPr>
          <w:rFonts w:ascii="Tahoma" w:eastAsia="標楷體" w:hAnsi="Tahoma" w:cs="Tahoma"/>
          <w:sz w:val="20"/>
          <w:szCs w:val="20"/>
          <w:lang w:val="en-GB"/>
        </w:rPr>
        <w:t xml:space="preserve">City, Country, </w:t>
      </w:r>
      <w:r w:rsidRPr="00353C9D">
        <w:rPr>
          <w:rFonts w:ascii="Tahoma" w:eastAsia="標楷體" w:hAnsi="Tahoma" w:cs="Tahoma"/>
          <w:sz w:val="20"/>
          <w:szCs w:val="20"/>
          <w:lang w:val="en-GB"/>
        </w:rPr>
        <w:t>to the</w:t>
      </w:r>
      <w:r w:rsidRPr="00A23834">
        <w:rPr>
          <w:rFonts w:ascii="Tahoma" w:eastAsia="標楷體" w:hAnsi="Tahoma" w:cs="Tahoma"/>
          <w:sz w:val="20"/>
          <w:szCs w:val="20"/>
          <w:lang w:val="en-GB"/>
        </w:rPr>
        <w:t xml:space="preserve"> extent possible)</w:t>
      </w:r>
      <w:r w:rsidR="00996908" w:rsidRPr="00A23834">
        <w:rPr>
          <w:rFonts w:ascii="Tahoma" w:eastAsia="標楷體" w:hAnsi="Tahoma" w:cs="Tahoma"/>
          <w:sz w:val="20"/>
          <w:szCs w:val="20"/>
          <w:lang w:val="en-GB"/>
        </w:rPr>
        <w:t xml:space="preserve"> </w:t>
      </w:r>
    </w:p>
    <w:p w14:paraId="32F0E35F" w14:textId="77777777" w:rsidR="003C32BF" w:rsidRPr="00A23834" w:rsidRDefault="00465106" w:rsidP="00677C16">
      <w:pPr>
        <w:pStyle w:val="ListParagraph"/>
        <w:numPr>
          <w:ilvl w:val="3"/>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Address of the place of residence (to the extent possible)</w:t>
      </w:r>
      <w:r w:rsidR="00996908" w:rsidRPr="00A23834">
        <w:rPr>
          <w:rFonts w:ascii="Tahoma" w:eastAsia="標楷體" w:hAnsi="Tahoma" w:cs="Tahoma"/>
          <w:sz w:val="20"/>
          <w:szCs w:val="20"/>
          <w:lang w:val="en-GB"/>
        </w:rPr>
        <w:t xml:space="preserve"> </w:t>
      </w:r>
    </w:p>
    <w:p w14:paraId="5E4F84A8" w14:textId="77777777" w:rsidR="00B550B0" w:rsidRPr="00A23834" w:rsidRDefault="00B550B0" w:rsidP="00677C16">
      <w:pPr>
        <w:pStyle w:val="ListParagraph"/>
        <w:numPr>
          <w:ilvl w:val="2"/>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Documents to be used for verification</w:t>
      </w:r>
      <w:r w:rsidR="00996908" w:rsidRPr="00A23834">
        <w:rPr>
          <w:rFonts w:ascii="Tahoma" w:eastAsia="標楷體" w:hAnsi="Tahoma" w:cs="Tahoma"/>
          <w:sz w:val="20"/>
          <w:szCs w:val="20"/>
          <w:lang w:val="en-GB"/>
        </w:rPr>
        <w:t xml:space="preserve"> </w:t>
      </w:r>
    </w:p>
    <w:p w14:paraId="2BA1165F" w14:textId="77777777" w:rsidR="00B550B0" w:rsidRPr="00A23834" w:rsidRDefault="00B550B0" w:rsidP="00677C16">
      <w:pPr>
        <w:pStyle w:val="ListParagraph"/>
        <w:numPr>
          <w:ilvl w:val="3"/>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Belgian residents: identity card;</w:t>
      </w:r>
      <w:r w:rsidR="00996908" w:rsidRPr="00A23834">
        <w:rPr>
          <w:rFonts w:ascii="Tahoma" w:eastAsia="標楷體" w:hAnsi="Tahoma" w:cs="Tahoma"/>
          <w:sz w:val="20"/>
          <w:szCs w:val="20"/>
          <w:lang w:val="en-GB"/>
        </w:rPr>
        <w:t xml:space="preserve"> </w:t>
      </w:r>
    </w:p>
    <w:p w14:paraId="5DE3FF38" w14:textId="77777777" w:rsidR="00B550B0" w:rsidRPr="00A23834" w:rsidRDefault="00B550B0" w:rsidP="00677C16">
      <w:pPr>
        <w:pStyle w:val="ListParagraph"/>
        <w:numPr>
          <w:ilvl w:val="3"/>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Non-Belgian residents: passport;</w:t>
      </w:r>
      <w:r w:rsidR="00996908" w:rsidRPr="00A23834">
        <w:rPr>
          <w:rFonts w:ascii="Tahoma" w:eastAsia="標楷體" w:hAnsi="Tahoma" w:cs="Tahoma"/>
          <w:sz w:val="20"/>
          <w:szCs w:val="20"/>
          <w:lang w:val="en-GB"/>
        </w:rPr>
        <w:t xml:space="preserve"> </w:t>
      </w:r>
    </w:p>
    <w:p w14:paraId="0EC2F6D7" w14:textId="77777777" w:rsidR="003C32BF" w:rsidRPr="00A23834" w:rsidRDefault="00B550B0" w:rsidP="00677C16">
      <w:pPr>
        <w:pStyle w:val="ListParagraph"/>
        <w:numPr>
          <w:ilvl w:val="3"/>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rPr>
        <w:t>Belgian residents that are foreign citizens without ID card: valid inscription in register of foreigners and valid documents that attest the legality of stay in Belgium.</w:t>
      </w:r>
      <w:r w:rsidR="00996908" w:rsidRPr="00A23834">
        <w:rPr>
          <w:rFonts w:ascii="Tahoma" w:eastAsia="標楷體" w:hAnsi="Tahoma" w:cs="Tahoma"/>
          <w:sz w:val="20"/>
          <w:szCs w:val="20"/>
          <w:lang w:val="en-GB"/>
        </w:rPr>
        <w:t xml:space="preserve"> </w:t>
      </w:r>
    </w:p>
    <w:p w14:paraId="6884545E" w14:textId="77777777" w:rsidR="00621829" w:rsidRPr="00A23834" w:rsidRDefault="00621829" w:rsidP="00677C16">
      <w:pPr>
        <w:pStyle w:val="ListParagraph"/>
        <w:snapToGrid w:val="0"/>
        <w:spacing w:line="240" w:lineRule="exact"/>
        <w:ind w:leftChars="0" w:left="1446"/>
        <w:jc w:val="both"/>
        <w:rPr>
          <w:rFonts w:ascii="Tahoma" w:eastAsia="標楷體" w:hAnsi="Tahoma" w:cs="Tahoma"/>
          <w:sz w:val="20"/>
          <w:szCs w:val="20"/>
          <w:lang w:val="en-GB"/>
        </w:rPr>
      </w:pPr>
    </w:p>
    <w:p w14:paraId="37A5982E" w14:textId="77777777" w:rsidR="00B550B0" w:rsidRPr="00A23834" w:rsidRDefault="00B550B0"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Verify by other means other than document</w:t>
      </w:r>
    </w:p>
    <w:p w14:paraId="66CBE41E" w14:textId="77777777" w:rsidR="00B550B0" w:rsidRPr="00A23834" w:rsidRDefault="00B550B0" w:rsidP="00677C16">
      <w:pPr>
        <w:pStyle w:val="ListParagraph"/>
        <w:numPr>
          <w:ilvl w:val="2"/>
          <w:numId w:val="5"/>
        </w:numPr>
        <w:snapToGrid w:val="0"/>
        <w:spacing w:line="240" w:lineRule="exact"/>
        <w:ind w:leftChars="0"/>
        <w:jc w:val="both"/>
        <w:rPr>
          <w:rFonts w:ascii="Tahoma" w:eastAsia="標楷體" w:hAnsi="Tahoma" w:cs="Tahoma"/>
          <w:sz w:val="20"/>
          <w:szCs w:val="20"/>
          <w:lang w:val="en-GB" w:eastAsia="zh-HK"/>
        </w:rPr>
      </w:pPr>
      <w:r w:rsidRPr="00A23834">
        <w:rPr>
          <w:rFonts w:ascii="Tahoma" w:eastAsia="標楷體" w:hAnsi="Tahoma" w:cs="Tahoma"/>
          <w:sz w:val="20"/>
          <w:szCs w:val="20"/>
        </w:rPr>
        <w:t>B</w:t>
      </w:r>
      <w:r w:rsidRPr="00A23834">
        <w:rPr>
          <w:rFonts w:ascii="Tahoma" w:eastAsia="標楷體" w:hAnsi="Tahoma" w:cs="Tahoma"/>
          <w:sz w:val="20"/>
          <w:szCs w:val="20"/>
          <w:lang w:val="en-GB" w:eastAsia="zh-HK"/>
        </w:rPr>
        <w:t>y phone or mail</w:t>
      </w:r>
    </w:p>
    <w:p w14:paraId="36FB30B6" w14:textId="77777777" w:rsidR="000D29B7" w:rsidRPr="00A23834" w:rsidRDefault="000D29B7" w:rsidP="00677C16">
      <w:pPr>
        <w:pStyle w:val="ListParagraph"/>
        <w:numPr>
          <w:ilvl w:val="2"/>
          <w:numId w:val="5"/>
        </w:numPr>
        <w:snapToGrid w:val="0"/>
        <w:spacing w:line="240" w:lineRule="exact"/>
        <w:ind w:leftChars="0"/>
        <w:jc w:val="both"/>
        <w:rPr>
          <w:rFonts w:ascii="Tahoma" w:eastAsia="標楷體" w:hAnsi="Tahoma" w:cs="Tahoma"/>
          <w:sz w:val="20"/>
          <w:szCs w:val="20"/>
          <w:lang w:val="en-GB" w:eastAsia="zh-HK"/>
        </w:rPr>
      </w:pPr>
      <w:r w:rsidRPr="00A23834">
        <w:rPr>
          <w:rFonts w:ascii="Tahoma" w:eastAsia="標楷體" w:hAnsi="Tahoma" w:cs="Tahoma"/>
          <w:sz w:val="20"/>
          <w:szCs w:val="20"/>
          <w:lang w:val="en-GB" w:eastAsia="zh-HK"/>
        </w:rPr>
        <w:t>Customer invoices such as gas</w:t>
      </w:r>
      <w:r w:rsidRPr="00A23834">
        <w:rPr>
          <w:rFonts w:ascii="Tahoma" w:eastAsia="標楷體" w:hAnsi="Tahoma" w:cs="Tahoma"/>
          <w:sz w:val="20"/>
          <w:szCs w:val="20"/>
          <w:lang w:eastAsia="zh-HK"/>
        </w:rPr>
        <w:t>, electricity, and bank statement, etc.</w:t>
      </w:r>
    </w:p>
    <w:p w14:paraId="5D88797A" w14:textId="77777777" w:rsidR="00B550B0" w:rsidRPr="00A23834" w:rsidRDefault="00B550B0" w:rsidP="00677C16">
      <w:pPr>
        <w:pStyle w:val="ListParagraph"/>
        <w:numPr>
          <w:ilvl w:val="2"/>
          <w:numId w:val="5"/>
        </w:numPr>
        <w:snapToGrid w:val="0"/>
        <w:spacing w:line="240" w:lineRule="exact"/>
        <w:ind w:leftChars="0"/>
        <w:jc w:val="both"/>
        <w:rPr>
          <w:rFonts w:ascii="Tahoma" w:eastAsia="標楷體" w:hAnsi="Tahoma" w:cs="Tahoma"/>
          <w:sz w:val="20"/>
          <w:szCs w:val="20"/>
          <w:lang w:val="en-GB" w:eastAsia="zh-HK"/>
        </w:rPr>
      </w:pPr>
      <w:r w:rsidRPr="00A23834">
        <w:rPr>
          <w:rFonts w:ascii="Tahoma" w:eastAsia="標楷體" w:hAnsi="Tahoma" w:cs="Tahoma"/>
          <w:sz w:val="20"/>
          <w:szCs w:val="20"/>
          <w:lang w:val="en-GB" w:eastAsia="zh-HK"/>
        </w:rPr>
        <w:t xml:space="preserve">Information provided by other financial institutions </w:t>
      </w:r>
    </w:p>
    <w:p w14:paraId="57A92279" w14:textId="3B7E39CE" w:rsidR="003C32BF" w:rsidRPr="00A23834" w:rsidRDefault="00B550B0" w:rsidP="00677C16">
      <w:pPr>
        <w:pStyle w:val="ListParagraph"/>
        <w:numPr>
          <w:ilvl w:val="2"/>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lang w:val="en-GB" w:eastAsia="zh-HK"/>
        </w:rPr>
        <w:t>Cross-checking all the information provided by t</w:t>
      </w:r>
      <w:r w:rsidR="00630170">
        <w:rPr>
          <w:rFonts w:ascii="Tahoma" w:eastAsia="標楷體" w:hAnsi="Tahoma" w:cs="Tahoma"/>
          <w:sz w:val="20"/>
          <w:szCs w:val="20"/>
          <w:lang w:val="en-GB" w:eastAsia="zh-HK"/>
        </w:rPr>
        <w:t>he customer with other reliable</w:t>
      </w:r>
      <w:r w:rsidRPr="00A23834">
        <w:rPr>
          <w:rFonts w:ascii="Tahoma" w:eastAsia="標楷體" w:hAnsi="Tahoma" w:cs="Tahoma"/>
          <w:sz w:val="20"/>
          <w:szCs w:val="20"/>
        </w:rPr>
        <w:t xml:space="preserve"> information and non-free data base.</w:t>
      </w:r>
    </w:p>
    <w:p w14:paraId="0E9C5E0B" w14:textId="77777777" w:rsidR="00621829" w:rsidRPr="00A23834" w:rsidRDefault="00621829" w:rsidP="00677C16">
      <w:pPr>
        <w:pStyle w:val="ListParagraph"/>
        <w:snapToGrid w:val="0"/>
        <w:spacing w:line="240" w:lineRule="exact"/>
        <w:ind w:leftChars="0" w:left="964"/>
        <w:jc w:val="both"/>
        <w:rPr>
          <w:rFonts w:ascii="Tahoma" w:eastAsia="標楷體" w:hAnsi="Tahoma" w:cs="Tahoma"/>
          <w:sz w:val="20"/>
          <w:szCs w:val="20"/>
          <w:lang w:val="en-GB"/>
        </w:rPr>
      </w:pPr>
    </w:p>
    <w:p w14:paraId="1FD0768F" w14:textId="09DD8856" w:rsidR="003C32BF" w:rsidRPr="00A23834" w:rsidRDefault="00B550B0" w:rsidP="00677C16">
      <w:pPr>
        <w:pStyle w:val="ListParagraph"/>
        <w:numPr>
          <w:ilvl w:val="1"/>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rPr>
        <w:t>When conducting customer due diligence, the bank should use self-established database or information obtained from external sources to determine</w:t>
      </w:r>
      <w:r w:rsidR="00771887" w:rsidRPr="00A23834">
        <w:rPr>
          <w:rFonts w:ascii="Tahoma" w:eastAsia="標楷體" w:hAnsi="Tahoma" w:cs="Tahoma"/>
          <w:sz w:val="20"/>
          <w:szCs w:val="20"/>
        </w:rPr>
        <w:t xml:space="preserve"> whether the customer, proxy</w:t>
      </w:r>
      <w:r w:rsidR="00771887" w:rsidRPr="00A23834">
        <w:rPr>
          <w:rFonts w:ascii="Tahoma" w:eastAsia="標楷體" w:hAnsi="Tahoma" w:cs="Tahoma" w:hint="eastAsia"/>
          <w:sz w:val="20"/>
          <w:szCs w:val="20"/>
        </w:rPr>
        <w:t xml:space="preserve">, </w:t>
      </w:r>
      <w:r w:rsidRPr="00A23834">
        <w:rPr>
          <w:rFonts w:ascii="Tahoma" w:eastAsia="標楷體" w:hAnsi="Tahoma" w:cs="Tahoma"/>
          <w:sz w:val="20"/>
          <w:szCs w:val="20"/>
        </w:rPr>
        <w:t>beneficial owner</w:t>
      </w:r>
      <w:r w:rsidR="00A01FD8" w:rsidRPr="00A23834">
        <w:rPr>
          <w:rFonts w:ascii="Tahoma" w:eastAsia="標楷體" w:hAnsi="Tahoma" w:cs="Tahoma"/>
          <w:sz w:val="20"/>
          <w:szCs w:val="20"/>
        </w:rPr>
        <w:t>, senior management</w:t>
      </w:r>
      <w:r w:rsidRPr="00A23834">
        <w:rPr>
          <w:rFonts w:ascii="Tahoma" w:eastAsia="標楷體" w:hAnsi="Tahoma" w:cs="Tahoma"/>
          <w:sz w:val="20"/>
          <w:szCs w:val="20"/>
        </w:rPr>
        <w:t xml:space="preserve"> </w:t>
      </w:r>
      <w:r w:rsidR="00771887" w:rsidRPr="00A23834">
        <w:rPr>
          <w:rFonts w:ascii="Tahoma" w:eastAsia="標楷體" w:hAnsi="Tahoma" w:cs="Tahoma" w:hint="eastAsia"/>
          <w:sz w:val="20"/>
          <w:szCs w:val="20"/>
        </w:rPr>
        <w:t xml:space="preserve">or counterparty </w:t>
      </w:r>
      <w:r w:rsidRPr="00A23834">
        <w:rPr>
          <w:rFonts w:ascii="Tahoma" w:eastAsia="標楷體" w:hAnsi="Tahoma" w:cs="Tahoma"/>
          <w:sz w:val="20"/>
          <w:szCs w:val="20"/>
        </w:rPr>
        <w:t xml:space="preserve">is </w:t>
      </w:r>
      <w:r w:rsidR="004A2F90" w:rsidRPr="00A23834">
        <w:rPr>
          <w:rFonts w:ascii="Tahoma" w:eastAsia="標楷體" w:hAnsi="Tahoma" w:cs="Tahoma"/>
          <w:sz w:val="20"/>
          <w:szCs w:val="20"/>
        </w:rPr>
        <w:t xml:space="preserve">a person who is or used to be entrusted with a prominent function by a </w:t>
      </w:r>
      <w:r w:rsidR="004A2F90" w:rsidRPr="00A23834">
        <w:rPr>
          <w:rFonts w:ascii="Tahoma" w:eastAsia="標楷體" w:hAnsi="Tahoma" w:cs="Tahoma" w:hint="eastAsia"/>
          <w:sz w:val="20"/>
          <w:szCs w:val="20"/>
        </w:rPr>
        <w:t xml:space="preserve">domestic, </w:t>
      </w:r>
      <w:r w:rsidR="004A2F90" w:rsidRPr="00A23834">
        <w:rPr>
          <w:rFonts w:ascii="Tahoma" w:eastAsia="標楷體" w:hAnsi="Tahoma" w:cs="Tahoma"/>
          <w:sz w:val="20"/>
          <w:szCs w:val="20"/>
        </w:rPr>
        <w:t>foreign government or an international organization</w:t>
      </w:r>
      <w:r w:rsidRPr="00A23834">
        <w:rPr>
          <w:rFonts w:ascii="Tahoma" w:eastAsia="標楷體" w:hAnsi="Tahoma" w:cs="Tahoma"/>
          <w:sz w:val="20"/>
          <w:szCs w:val="20"/>
        </w:rPr>
        <w:t>, and check if is on the money laundering, financing of terrorism, embargo or sanction lists published by the authorities.</w:t>
      </w:r>
    </w:p>
    <w:p w14:paraId="12C40191" w14:textId="77777777" w:rsidR="001F6E7A" w:rsidRPr="00A23834" w:rsidRDefault="001F6E7A" w:rsidP="001F6E7A">
      <w:pPr>
        <w:pStyle w:val="ListParagraph"/>
        <w:snapToGrid w:val="0"/>
        <w:spacing w:line="240" w:lineRule="exact"/>
        <w:ind w:leftChars="0" w:left="482"/>
        <w:jc w:val="both"/>
        <w:rPr>
          <w:rFonts w:ascii="Tahoma" w:eastAsia="標楷體" w:hAnsi="Tahoma" w:cs="Tahoma"/>
          <w:sz w:val="20"/>
          <w:szCs w:val="20"/>
          <w:lang w:val="en-GB"/>
        </w:rPr>
      </w:pPr>
    </w:p>
    <w:p w14:paraId="04D6BA37" w14:textId="047CE59B" w:rsidR="001F6E7A" w:rsidRPr="00A23834" w:rsidRDefault="001F6E7A" w:rsidP="00677C16">
      <w:pPr>
        <w:pStyle w:val="ListParagraph"/>
        <w:numPr>
          <w:ilvl w:val="1"/>
          <w:numId w:val="5"/>
        </w:numPr>
        <w:snapToGrid w:val="0"/>
        <w:spacing w:line="240" w:lineRule="exact"/>
        <w:ind w:leftChars="0"/>
        <w:jc w:val="both"/>
        <w:rPr>
          <w:rFonts w:ascii="Tahoma" w:eastAsia="標楷體" w:hAnsi="Tahoma" w:cs="Tahoma"/>
          <w:sz w:val="20"/>
          <w:szCs w:val="20"/>
          <w:lang w:val="en-GB"/>
        </w:rPr>
      </w:pPr>
      <w:r w:rsidRPr="00A23834">
        <w:rPr>
          <w:rFonts w:ascii="Tahoma" w:eastAsia="標楷體" w:hAnsi="Tahoma" w:cs="Tahoma"/>
          <w:sz w:val="20"/>
          <w:szCs w:val="20"/>
        </w:rPr>
        <w:t>With regard to the UBO, the UBO register should be consulted, if applicable, in order to collect evidence of the registration of the UBO information.</w:t>
      </w:r>
    </w:p>
    <w:p w14:paraId="1B610605" w14:textId="77777777" w:rsidR="006C4166" w:rsidRPr="00A23834" w:rsidRDefault="006112E4" w:rsidP="00E25E8A">
      <w:pPr>
        <w:pStyle w:val="Heading1"/>
        <w:rPr>
          <w:rFonts w:ascii="Tahoma" w:eastAsia="標楷體" w:hAnsi="Tahoma" w:cs="Tahoma"/>
          <w:b/>
          <w:color w:val="auto"/>
          <w:sz w:val="24"/>
          <w:szCs w:val="24"/>
        </w:rPr>
      </w:pPr>
      <w:bookmarkStart w:id="36" w:name="_Toc142480930"/>
      <w:bookmarkStart w:id="37" w:name="_Toc142484959"/>
      <w:r w:rsidRPr="00A23834">
        <w:rPr>
          <w:rFonts w:ascii="Tahoma" w:eastAsia="標楷體" w:hAnsi="Tahoma" w:cs="Tahoma"/>
          <w:b/>
          <w:color w:val="auto"/>
          <w:sz w:val="24"/>
          <w:szCs w:val="24"/>
        </w:rPr>
        <w:t>Chapter Four</w:t>
      </w:r>
      <w:r w:rsidR="006F68AF" w:rsidRPr="00A23834">
        <w:rPr>
          <w:rFonts w:ascii="Tahoma" w:eastAsia="標楷體" w:hAnsi="Tahoma" w:cs="Tahoma"/>
          <w:b/>
          <w:color w:val="auto"/>
          <w:sz w:val="24"/>
          <w:szCs w:val="24"/>
        </w:rPr>
        <w:t>－</w:t>
      </w:r>
      <w:r w:rsidR="006F68AF" w:rsidRPr="00A23834">
        <w:rPr>
          <w:rFonts w:ascii="Tahoma" w:eastAsia="標楷體" w:hAnsi="Tahoma" w:cs="Tahoma"/>
          <w:b/>
          <w:color w:val="auto"/>
          <w:kern w:val="0"/>
          <w:sz w:val="24"/>
          <w:szCs w:val="24"/>
        </w:rPr>
        <w:t>Ongoing monitoring measures</w:t>
      </w:r>
      <w:bookmarkEnd w:id="36"/>
      <w:bookmarkEnd w:id="37"/>
    </w:p>
    <w:p w14:paraId="7430BEE3" w14:textId="098315DF" w:rsidR="006C4166" w:rsidRPr="00A23834" w:rsidRDefault="00C723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bookmarkStart w:id="38" w:name="_Toc142480931"/>
      <w:bookmarkStart w:id="39" w:name="_Toc142484960"/>
      <w:r>
        <w:rPr>
          <w:rFonts w:ascii="Tahoma" w:eastAsia="標楷體" w:hAnsi="Tahoma" w:cs="Tahoma"/>
          <w:sz w:val="20"/>
          <w:szCs w:val="20"/>
        </w:rPr>
        <w:t>Ongoing CDD</w:t>
      </w:r>
      <w:bookmarkEnd w:id="38"/>
      <w:bookmarkEnd w:id="39"/>
    </w:p>
    <w:p w14:paraId="0D17F8D6" w14:textId="77777777" w:rsidR="00621829" w:rsidRPr="00A23834" w:rsidRDefault="00621829" w:rsidP="00677C16">
      <w:pPr>
        <w:snapToGrid w:val="0"/>
        <w:spacing w:line="240" w:lineRule="exact"/>
        <w:jc w:val="both"/>
        <w:rPr>
          <w:rFonts w:ascii="Tahoma" w:eastAsia="標楷體" w:hAnsi="Tahoma" w:cs="Tahoma"/>
          <w:sz w:val="20"/>
          <w:szCs w:val="20"/>
        </w:rPr>
      </w:pPr>
    </w:p>
    <w:p w14:paraId="6BB1F2A5" w14:textId="77777777" w:rsidR="006F68AF" w:rsidRPr="00A23834" w:rsidRDefault="006F68AF" w:rsidP="00677C16">
      <w:pPr>
        <w:snapToGrid w:val="0"/>
        <w:spacing w:line="240" w:lineRule="exact"/>
        <w:jc w:val="both"/>
        <w:rPr>
          <w:rFonts w:ascii="Tahoma" w:eastAsia="標楷體" w:hAnsi="Tahoma" w:cs="Tahoma"/>
          <w:sz w:val="20"/>
          <w:szCs w:val="20"/>
        </w:rPr>
      </w:pPr>
      <w:r w:rsidRPr="00A23834">
        <w:rPr>
          <w:rFonts w:ascii="Tahoma" w:eastAsia="標楷體" w:hAnsi="Tahoma" w:cs="Tahoma"/>
          <w:sz w:val="20"/>
          <w:szCs w:val="20"/>
        </w:rPr>
        <w:t>The bank sha</w:t>
      </w:r>
      <w:r w:rsidR="006E2A2B" w:rsidRPr="00A23834">
        <w:rPr>
          <w:rFonts w:ascii="Tahoma" w:eastAsia="標楷體" w:hAnsi="Tahoma" w:cs="Tahoma"/>
          <w:sz w:val="20"/>
          <w:szCs w:val="20"/>
        </w:rPr>
        <w:t>ll conduct customer due diligence</w:t>
      </w:r>
      <w:r w:rsidRPr="00A23834">
        <w:rPr>
          <w:rFonts w:ascii="Tahoma" w:eastAsia="標楷體" w:hAnsi="Tahoma" w:cs="Tahoma"/>
          <w:sz w:val="20"/>
          <w:szCs w:val="20"/>
        </w:rPr>
        <w:t xml:space="preserve"> </w:t>
      </w:r>
      <w:r w:rsidR="00EB775D" w:rsidRPr="00A23834">
        <w:rPr>
          <w:rFonts w:ascii="Tahoma" w:eastAsia="標楷體" w:hAnsi="Tahoma" w:cs="Tahoma"/>
          <w:sz w:val="20"/>
          <w:szCs w:val="20"/>
        </w:rPr>
        <w:t>in accordance with Article 14</w:t>
      </w:r>
      <w:r w:rsidR="00F96B1F" w:rsidRPr="00A23834">
        <w:rPr>
          <w:rFonts w:ascii="Tahoma" w:eastAsia="標楷體" w:hAnsi="Tahoma" w:cs="Tahoma"/>
          <w:sz w:val="20"/>
          <w:szCs w:val="20"/>
        </w:rPr>
        <w:t xml:space="preserve"> </w:t>
      </w:r>
      <w:r w:rsidRPr="00A23834">
        <w:rPr>
          <w:rFonts w:ascii="Tahoma" w:eastAsia="標楷體" w:hAnsi="Tahoma" w:cs="Tahoma"/>
          <w:sz w:val="20"/>
          <w:szCs w:val="20"/>
        </w:rPr>
        <w:t>to the business relationship of existing customer:</w:t>
      </w:r>
      <w:r w:rsidR="00D356B9" w:rsidRPr="00A23834">
        <w:rPr>
          <w:rFonts w:ascii="Tahoma" w:eastAsia="標楷體" w:hAnsi="Tahoma" w:cs="Tahoma"/>
          <w:sz w:val="20"/>
          <w:szCs w:val="20"/>
        </w:rPr>
        <w:t xml:space="preserve"> </w:t>
      </w:r>
    </w:p>
    <w:p w14:paraId="24B69A08" w14:textId="77777777" w:rsidR="006C4166" w:rsidRPr="00A23834" w:rsidRDefault="006F68AF"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When</w:t>
      </w:r>
      <w:r w:rsidRPr="00A23834">
        <w:rPr>
          <w:rFonts w:ascii="Tahoma" w:eastAsia="標楷體" w:hAnsi="Tahoma" w:cs="Tahoma"/>
          <w:kern w:val="0"/>
          <w:sz w:val="20"/>
          <w:szCs w:val="20"/>
        </w:rPr>
        <w:t xml:space="preserve"> a customer opens an additional account or establishes new business relationships.</w:t>
      </w:r>
    </w:p>
    <w:p w14:paraId="0C3FE293" w14:textId="77777777" w:rsidR="006F68AF" w:rsidRPr="00A23834" w:rsidRDefault="006F68AF"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kern w:val="0"/>
          <w:sz w:val="20"/>
          <w:szCs w:val="20"/>
        </w:rPr>
        <w:t>When conducting a regular review of a customer in accordance with</w:t>
      </w:r>
      <w:r w:rsidR="003E029A" w:rsidRPr="00A23834">
        <w:rPr>
          <w:rFonts w:ascii="Tahoma" w:eastAsia="標楷體" w:hAnsi="Tahoma" w:cs="Tahoma"/>
          <w:kern w:val="0"/>
          <w:sz w:val="20"/>
          <w:szCs w:val="20"/>
        </w:rPr>
        <w:t xml:space="preserve"> in</w:t>
      </w:r>
      <w:r w:rsidRPr="00A23834">
        <w:rPr>
          <w:rFonts w:ascii="Tahoma" w:eastAsia="標楷體" w:hAnsi="Tahoma" w:cs="Tahoma"/>
          <w:kern w:val="0"/>
          <w:sz w:val="20"/>
          <w:szCs w:val="20"/>
        </w:rPr>
        <w:t xml:space="preserve"> Article</w:t>
      </w:r>
      <w:r w:rsidR="002A0489" w:rsidRPr="00A23834">
        <w:rPr>
          <w:rFonts w:ascii="Tahoma" w:eastAsia="標楷體" w:hAnsi="Tahoma" w:cs="Tahoma"/>
          <w:kern w:val="0"/>
          <w:sz w:val="20"/>
          <w:szCs w:val="20"/>
        </w:rPr>
        <w:t xml:space="preserve"> 12</w:t>
      </w:r>
      <w:r w:rsidR="003E029A" w:rsidRPr="00A23834">
        <w:rPr>
          <w:rFonts w:ascii="Tahoma" w:eastAsia="標楷體" w:hAnsi="Tahoma" w:cs="Tahoma"/>
          <w:kern w:val="0"/>
          <w:sz w:val="20"/>
          <w:szCs w:val="20"/>
        </w:rPr>
        <w:t>, item 5</w:t>
      </w:r>
      <w:r w:rsidRPr="00A23834">
        <w:rPr>
          <w:rFonts w:ascii="Tahoma" w:eastAsia="標楷體" w:hAnsi="Tahoma" w:cs="Tahoma"/>
          <w:kern w:val="0"/>
          <w:sz w:val="20"/>
          <w:szCs w:val="20"/>
        </w:rPr>
        <w:t xml:space="preserve"> of this Guidelines.</w:t>
      </w:r>
    </w:p>
    <w:p w14:paraId="09E3E7B0" w14:textId="77777777" w:rsidR="006F68AF" w:rsidRPr="00A23834" w:rsidRDefault="0069409B"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When </w:t>
      </w:r>
      <w:r w:rsidR="00C34907" w:rsidRPr="00A23834">
        <w:rPr>
          <w:rFonts w:ascii="Tahoma" w:eastAsia="標楷體" w:hAnsi="Tahoma" w:cs="Tahoma"/>
          <w:sz w:val="20"/>
          <w:szCs w:val="20"/>
        </w:rPr>
        <w:t xml:space="preserve">the identity of customer and </w:t>
      </w:r>
      <w:r w:rsidR="003E029A" w:rsidRPr="00A23834">
        <w:rPr>
          <w:rFonts w:ascii="Tahoma" w:eastAsia="標楷體" w:hAnsi="Tahoma" w:cs="Tahoma"/>
          <w:sz w:val="20"/>
          <w:szCs w:val="20"/>
        </w:rPr>
        <w:t xml:space="preserve">the </w:t>
      </w:r>
      <w:r w:rsidR="00C34907" w:rsidRPr="00A23834">
        <w:rPr>
          <w:rFonts w:ascii="Tahoma" w:eastAsia="標楷體" w:hAnsi="Tahoma" w:cs="Tahoma"/>
          <w:sz w:val="20"/>
          <w:szCs w:val="20"/>
        </w:rPr>
        <w:t>background</w:t>
      </w:r>
      <w:r w:rsidR="003E029A" w:rsidRPr="00A23834">
        <w:rPr>
          <w:rFonts w:ascii="Tahoma" w:eastAsia="標楷體" w:hAnsi="Tahoma" w:cs="Tahoma"/>
          <w:sz w:val="20"/>
          <w:szCs w:val="20"/>
        </w:rPr>
        <w:t xml:space="preserve"> information changed significantly</w:t>
      </w:r>
      <w:r w:rsidR="00C34907" w:rsidRPr="00A23834">
        <w:rPr>
          <w:rFonts w:ascii="Tahoma" w:eastAsia="標楷體" w:hAnsi="Tahoma" w:cs="Tahoma"/>
          <w:sz w:val="20"/>
          <w:szCs w:val="20"/>
        </w:rPr>
        <w:t>.</w:t>
      </w:r>
    </w:p>
    <w:p w14:paraId="073C0CF4" w14:textId="77777777" w:rsidR="00416EB2" w:rsidRPr="00A23834" w:rsidRDefault="00416EB2"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Unusually large transactions in the light of the bank’s knowledge of the customer’s profile and the business relationship.</w:t>
      </w:r>
    </w:p>
    <w:p w14:paraId="25C9A118" w14:textId="77777777" w:rsidR="00416EB2" w:rsidRPr="00A23834" w:rsidRDefault="00416EB2"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Transfers of funds received for the benefit of customers which are not accompanied by the necessary information on the payer.</w:t>
      </w:r>
    </w:p>
    <w:p w14:paraId="4335CEE4" w14:textId="77777777" w:rsidR="00416EB2" w:rsidRPr="00A23834" w:rsidRDefault="00416EB2"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Customers for whom transactions deemed suspicious by the bank has been reported to the CTIF-CFI or have been transmitted by the first-line or second-line monitoring system to AML officer</w:t>
      </w:r>
      <w:r w:rsidR="00414F14" w:rsidRPr="00A23834">
        <w:rPr>
          <w:rFonts w:ascii="Tahoma" w:eastAsia="標楷體" w:hAnsi="Tahoma" w:cs="Tahoma"/>
          <w:sz w:val="20"/>
          <w:szCs w:val="20"/>
        </w:rPr>
        <w:t xml:space="preserve"> of the bank, without these internal reports having given to any reporting of a suspicious transaction to the CTIF-CFI.</w:t>
      </w:r>
    </w:p>
    <w:p w14:paraId="024ECB03" w14:textId="77777777" w:rsidR="00C65FCA" w:rsidRPr="00A23834" w:rsidRDefault="00C65FCA"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When the transaction is involved of huge cash movement.</w:t>
      </w:r>
    </w:p>
    <w:p w14:paraId="23CEDED3" w14:textId="77777777" w:rsidR="00ED5D72" w:rsidRPr="00A23834" w:rsidRDefault="00ED5D72"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Other circumstances which create a situation of high risk of money laundering or terrorist financing </w:t>
      </w:r>
      <w:r w:rsidRPr="00A23834">
        <w:rPr>
          <w:rFonts w:ascii="Tahoma" w:eastAsia="標楷體" w:hAnsi="Tahoma" w:cs="Tahoma"/>
          <w:sz w:val="20"/>
          <w:szCs w:val="20"/>
        </w:rPr>
        <w:lastRenderedPageBreak/>
        <w:t>considered necessary by the bank.</w:t>
      </w:r>
    </w:p>
    <w:p w14:paraId="524708FD" w14:textId="77777777" w:rsidR="00F96B1F" w:rsidRPr="00A23834" w:rsidRDefault="00F96B1F"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Customer due diligence also includes the updating of the </w:t>
      </w:r>
      <w:r w:rsidR="00087641" w:rsidRPr="00A23834">
        <w:rPr>
          <w:rFonts w:ascii="Tahoma" w:eastAsia="標楷體" w:hAnsi="Tahoma" w:cs="Tahoma"/>
          <w:sz w:val="20"/>
          <w:szCs w:val="20"/>
        </w:rPr>
        <w:t>characteristics of the c</w:t>
      </w:r>
      <w:r w:rsidR="00CA2E79" w:rsidRPr="00A23834">
        <w:rPr>
          <w:rFonts w:ascii="Tahoma" w:eastAsia="標楷體" w:hAnsi="Tahoma" w:cs="Tahoma"/>
          <w:sz w:val="20"/>
          <w:szCs w:val="20"/>
        </w:rPr>
        <w:t>ustomer</w:t>
      </w:r>
      <w:r w:rsidR="00B652F1" w:rsidRPr="00A23834">
        <w:rPr>
          <w:rFonts w:ascii="Tahoma" w:eastAsia="標楷體" w:hAnsi="Tahoma" w:cs="Tahoma"/>
          <w:sz w:val="20"/>
          <w:szCs w:val="20"/>
        </w:rPr>
        <w:t xml:space="preserve">, </w:t>
      </w:r>
      <w:r w:rsidR="00087641" w:rsidRPr="00A23834">
        <w:rPr>
          <w:rFonts w:ascii="Tahoma" w:eastAsia="標楷體" w:hAnsi="Tahoma" w:cs="Tahoma"/>
          <w:sz w:val="20"/>
          <w:szCs w:val="20"/>
        </w:rPr>
        <w:t xml:space="preserve">the </w:t>
      </w:r>
      <w:r w:rsidR="00EB775D" w:rsidRPr="00A23834">
        <w:rPr>
          <w:rFonts w:ascii="Tahoma" w:eastAsia="標楷體" w:hAnsi="Tahoma" w:cs="Tahoma"/>
          <w:sz w:val="20"/>
          <w:szCs w:val="20"/>
        </w:rPr>
        <w:t xml:space="preserve">intended </w:t>
      </w:r>
      <w:r w:rsidR="00B652F1" w:rsidRPr="00A23834">
        <w:rPr>
          <w:rFonts w:ascii="Tahoma" w:eastAsia="標楷體" w:hAnsi="Tahoma" w:cs="Tahoma"/>
          <w:sz w:val="20"/>
          <w:szCs w:val="20"/>
        </w:rPr>
        <w:t>transaction</w:t>
      </w:r>
      <w:r w:rsidR="00087641" w:rsidRPr="00A23834">
        <w:rPr>
          <w:rFonts w:ascii="Tahoma" w:eastAsia="標楷體" w:hAnsi="Tahoma" w:cs="Tahoma"/>
          <w:sz w:val="20"/>
          <w:szCs w:val="20"/>
        </w:rPr>
        <w:t xml:space="preserve"> and </w:t>
      </w:r>
      <w:r w:rsidR="00B652F1" w:rsidRPr="00A23834">
        <w:rPr>
          <w:rFonts w:ascii="Tahoma" w:eastAsia="標楷體" w:hAnsi="Tahoma" w:cs="Tahoma"/>
          <w:sz w:val="20"/>
          <w:szCs w:val="20"/>
        </w:rPr>
        <w:t>the</w:t>
      </w:r>
      <w:r w:rsidR="00087641" w:rsidRPr="00A23834">
        <w:rPr>
          <w:rFonts w:ascii="Tahoma" w:eastAsia="標楷體" w:hAnsi="Tahoma" w:cs="Tahoma"/>
          <w:sz w:val="20"/>
          <w:szCs w:val="20"/>
        </w:rPr>
        <w:t xml:space="preserve"> purpose of the business relationship.</w:t>
      </w:r>
      <w:r w:rsidR="00081C67" w:rsidRPr="00A23834">
        <w:rPr>
          <w:rFonts w:ascii="Tahoma" w:eastAsia="標楷體" w:hAnsi="Tahoma" w:cs="Tahoma"/>
          <w:sz w:val="20"/>
          <w:szCs w:val="20"/>
        </w:rPr>
        <w:t xml:space="preserve"> </w:t>
      </w:r>
    </w:p>
    <w:p w14:paraId="0A30B592" w14:textId="77777777" w:rsidR="00C74E12" w:rsidRPr="00A23834" w:rsidRDefault="00C74E12" w:rsidP="00677C16">
      <w:pPr>
        <w:snapToGrid w:val="0"/>
        <w:spacing w:line="240" w:lineRule="exact"/>
        <w:jc w:val="both"/>
        <w:rPr>
          <w:rFonts w:ascii="Tahoma" w:eastAsia="標楷體" w:hAnsi="Tahoma" w:cs="Tahoma"/>
          <w:sz w:val="20"/>
          <w:szCs w:val="20"/>
        </w:rPr>
      </w:pPr>
    </w:p>
    <w:p w14:paraId="09B2457C" w14:textId="681500AB" w:rsidR="00995826" w:rsidRPr="00A23834" w:rsidRDefault="00C723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bookmarkStart w:id="40" w:name="_Toc142480932"/>
      <w:bookmarkStart w:id="41" w:name="_Toc142484961"/>
      <w:r>
        <w:rPr>
          <w:rFonts w:ascii="Tahoma" w:eastAsia="標楷體" w:hAnsi="Tahoma" w:cs="Tahoma"/>
          <w:sz w:val="20"/>
          <w:szCs w:val="20"/>
        </w:rPr>
        <w:t>For high-risk profile customer</w:t>
      </w:r>
      <w:bookmarkEnd w:id="40"/>
      <w:bookmarkEnd w:id="41"/>
    </w:p>
    <w:p w14:paraId="1720564E" w14:textId="77777777" w:rsidR="00621829" w:rsidRPr="00A23834" w:rsidRDefault="00621829" w:rsidP="00677C16">
      <w:pPr>
        <w:snapToGrid w:val="0"/>
        <w:spacing w:line="240" w:lineRule="exact"/>
        <w:jc w:val="both"/>
        <w:rPr>
          <w:rFonts w:ascii="Tahoma" w:eastAsia="標楷體" w:hAnsi="Tahoma" w:cs="Tahoma"/>
          <w:sz w:val="20"/>
          <w:szCs w:val="20"/>
        </w:rPr>
      </w:pPr>
    </w:p>
    <w:p w14:paraId="4E9BA0E9" w14:textId="62E2E279" w:rsidR="00995826" w:rsidRPr="00A23834" w:rsidRDefault="00995826" w:rsidP="00677C16">
      <w:pPr>
        <w:snapToGrid w:val="0"/>
        <w:spacing w:line="240" w:lineRule="exact"/>
        <w:jc w:val="both"/>
        <w:rPr>
          <w:rFonts w:ascii="Tahoma" w:eastAsia="標楷體" w:hAnsi="Tahoma" w:cs="Tahoma"/>
          <w:sz w:val="20"/>
          <w:szCs w:val="20"/>
        </w:rPr>
      </w:pPr>
      <w:r w:rsidRPr="00A23834">
        <w:rPr>
          <w:rFonts w:ascii="Tahoma" w:eastAsia="標楷體" w:hAnsi="Tahoma" w:cs="Tahoma"/>
          <w:sz w:val="20"/>
          <w:szCs w:val="20"/>
        </w:rPr>
        <w:t>The verification of identity of High-risk profile customer</w:t>
      </w:r>
      <w:r w:rsidR="001F6E7A" w:rsidRPr="00A23834">
        <w:rPr>
          <w:rFonts w:ascii="Tahoma" w:eastAsia="標楷體" w:hAnsi="Tahoma" w:cs="Tahoma"/>
          <w:sz w:val="20"/>
          <w:szCs w:val="20"/>
        </w:rPr>
        <w:t>, including the customers located in high</w:t>
      </w:r>
      <w:r w:rsidR="00C723EE">
        <w:rPr>
          <w:rFonts w:ascii="Tahoma" w:eastAsia="標楷體" w:hAnsi="Tahoma" w:cs="Tahoma"/>
          <w:sz w:val="20"/>
          <w:szCs w:val="20"/>
        </w:rPr>
        <w:t>-</w:t>
      </w:r>
      <w:r w:rsidR="001F6E7A" w:rsidRPr="00A23834">
        <w:rPr>
          <w:rFonts w:ascii="Tahoma" w:eastAsia="標楷體" w:hAnsi="Tahoma" w:cs="Tahoma"/>
          <w:sz w:val="20"/>
          <w:szCs w:val="20"/>
        </w:rPr>
        <w:t>risk countries determined by European Commission,</w:t>
      </w:r>
      <w:r w:rsidR="00FC3936" w:rsidRPr="00A23834">
        <w:rPr>
          <w:rFonts w:ascii="Tahoma" w:eastAsia="標楷體" w:hAnsi="Tahoma" w:cs="Tahoma" w:hint="eastAsia"/>
          <w:sz w:val="20"/>
          <w:szCs w:val="20"/>
        </w:rPr>
        <w:t xml:space="preserve"> </w:t>
      </w:r>
      <w:r w:rsidRPr="00A23834">
        <w:rPr>
          <w:rFonts w:ascii="Tahoma" w:eastAsia="標楷體" w:hAnsi="Tahoma" w:cs="Tahoma"/>
          <w:sz w:val="20"/>
          <w:szCs w:val="20"/>
        </w:rPr>
        <w:t xml:space="preserve">and ongoing monitoring measures must include </w:t>
      </w:r>
      <w:r w:rsidR="00C827A0">
        <w:rPr>
          <w:rFonts w:ascii="Tahoma" w:eastAsia="標楷體" w:hAnsi="Tahoma" w:cs="Tahoma"/>
          <w:sz w:val="20"/>
          <w:szCs w:val="20"/>
        </w:rPr>
        <w:t xml:space="preserve">the </w:t>
      </w:r>
      <w:r w:rsidRPr="00A23834">
        <w:rPr>
          <w:rFonts w:ascii="Tahoma" w:eastAsia="標楷體" w:hAnsi="Tahoma" w:cs="Tahoma"/>
          <w:sz w:val="20"/>
          <w:szCs w:val="20"/>
        </w:rPr>
        <w:t>following steps:</w:t>
      </w:r>
    </w:p>
    <w:p w14:paraId="4378FBC9" w14:textId="77777777" w:rsidR="00E10659" w:rsidRPr="00A23834" w:rsidRDefault="00D650FB"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M</w:t>
      </w:r>
      <w:r w:rsidRPr="00A23834">
        <w:rPr>
          <w:rFonts w:ascii="Tahoma" w:eastAsia="標楷體" w:hAnsi="Tahoma" w:cs="Tahoma"/>
          <w:sz w:val="20"/>
          <w:szCs w:val="20"/>
          <w:lang w:eastAsia="zh-HK"/>
        </w:rPr>
        <w:t xml:space="preserve">easures for implementing </w:t>
      </w:r>
      <w:r w:rsidRPr="00A23834">
        <w:rPr>
          <w:rFonts w:ascii="Tahoma" w:eastAsia="標楷體" w:hAnsi="Tahoma" w:cs="Tahoma"/>
          <w:sz w:val="20"/>
          <w:szCs w:val="20"/>
        </w:rPr>
        <w:t>e</w:t>
      </w:r>
      <w:r w:rsidR="002928B6" w:rsidRPr="00A23834">
        <w:rPr>
          <w:rFonts w:ascii="Tahoma" w:eastAsia="標楷體" w:hAnsi="Tahoma" w:cs="Tahoma"/>
          <w:sz w:val="20"/>
          <w:szCs w:val="20"/>
        </w:rPr>
        <w:t>nhanced customer due diligence and reviews:</w:t>
      </w:r>
    </w:p>
    <w:p w14:paraId="11370E43" w14:textId="3DC5D5F0" w:rsidR="001F6E7A" w:rsidRPr="00A23834" w:rsidRDefault="00072215" w:rsidP="001F6E7A">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Obtaining </w:t>
      </w:r>
      <w:r w:rsidR="001F6E7A" w:rsidRPr="00A23834">
        <w:rPr>
          <w:rFonts w:ascii="Tahoma" w:eastAsia="標楷體" w:hAnsi="Tahoma" w:cs="Tahoma"/>
          <w:sz w:val="20"/>
          <w:szCs w:val="20"/>
        </w:rPr>
        <w:t xml:space="preserve">additional </w:t>
      </w:r>
      <w:r w:rsidRPr="00A23834">
        <w:rPr>
          <w:rFonts w:ascii="Tahoma" w:eastAsia="標楷體" w:hAnsi="Tahoma" w:cs="Tahoma"/>
          <w:sz w:val="20"/>
          <w:szCs w:val="20"/>
        </w:rPr>
        <w:t>the information in relation to account opening and the purpose of establishing business relationships: expected usage of accounts (e.g. expected transaction values, objectives and frequencies)</w:t>
      </w:r>
      <w:r w:rsidR="001F6E7A" w:rsidRPr="00A23834">
        <w:rPr>
          <w:rFonts w:ascii="Tahoma" w:eastAsia="標楷體" w:hAnsi="Tahoma" w:cs="Tahoma"/>
          <w:sz w:val="20"/>
          <w:szCs w:val="20"/>
        </w:rPr>
        <w:t xml:space="preserve"> and the reasons for the transactions envisaged.</w:t>
      </w:r>
    </w:p>
    <w:p w14:paraId="5AAD6937" w14:textId="5EDB72DF" w:rsidR="00F76FEE" w:rsidRPr="00A23834" w:rsidRDefault="00F76FEE" w:rsidP="00F76FEE">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Obtaining additional information on the customer and on the beneficial owner.</w:t>
      </w:r>
    </w:p>
    <w:p w14:paraId="6C7E223A" w14:textId="1E346257" w:rsidR="00072215" w:rsidRPr="00A23834" w:rsidRDefault="00072215"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Adopting reasonable measures to understand the wealth and capital sources of the customer. The capital sources refer to the substantive sources of funds (e.g. salaries, investment incomes, real estate transactions).</w:t>
      </w:r>
    </w:p>
    <w:p w14:paraId="3DF40115" w14:textId="77777777" w:rsidR="00072215" w:rsidRPr="00A23834" w:rsidRDefault="00072215" w:rsidP="00677C16">
      <w:pPr>
        <w:pStyle w:val="ListParagraph"/>
        <w:numPr>
          <w:ilvl w:val="3"/>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Obtaining the information regarding the sources of wealth, inflows and outflows of funds, types and quantities of assets for individual customers. If the capital sources are from deposits, it is necessary to get further understanding for the sources of these deposits.</w:t>
      </w:r>
    </w:p>
    <w:p w14:paraId="54DA5FC4" w14:textId="77777777" w:rsidR="00072215" w:rsidRPr="00A23834" w:rsidRDefault="00072215" w:rsidP="00677C16">
      <w:pPr>
        <w:pStyle w:val="ListParagraph"/>
        <w:numPr>
          <w:ilvl w:val="3"/>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Obtaining further commercial information on legal entity customers. It is necessary to understand the most recent financial status, business activities and business relationships of the customer in order to establish a profile regarding its assets, capital sources and capital destinations.</w:t>
      </w:r>
    </w:p>
    <w:p w14:paraId="5898B393" w14:textId="77777777" w:rsidR="00072215" w:rsidRPr="00A23834" w:rsidRDefault="00072215"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Obtaining the explanations and information regarding transactions ongoing or completed.</w:t>
      </w:r>
    </w:p>
    <w:p w14:paraId="752DF247" w14:textId="77777777" w:rsidR="00072215" w:rsidRPr="00A23834" w:rsidRDefault="00072215"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Conducting on-site visits or telephone interviews depending on customer types to confirm the customer’s operational status.</w:t>
      </w:r>
    </w:p>
    <w:p w14:paraId="7EB492DD" w14:textId="77777777" w:rsidR="00995826" w:rsidRPr="00A23834" w:rsidRDefault="00995826"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It should get the approval from Managing Director before establish</w:t>
      </w:r>
      <w:r w:rsidR="00117F25" w:rsidRPr="00A23834">
        <w:rPr>
          <w:rFonts w:ascii="Tahoma" w:eastAsia="標楷體" w:hAnsi="Tahoma" w:cs="Tahoma"/>
          <w:sz w:val="20"/>
          <w:szCs w:val="20"/>
        </w:rPr>
        <w:t>ing</w:t>
      </w:r>
      <w:r w:rsidRPr="00A23834">
        <w:rPr>
          <w:rFonts w:ascii="Tahoma" w:eastAsia="標楷體" w:hAnsi="Tahoma" w:cs="Tahoma"/>
          <w:sz w:val="20"/>
          <w:szCs w:val="20"/>
        </w:rPr>
        <w:t xml:space="preserve"> or add</w:t>
      </w:r>
      <w:r w:rsidR="00117F25" w:rsidRPr="00A23834">
        <w:rPr>
          <w:rFonts w:ascii="Tahoma" w:eastAsia="標楷體" w:hAnsi="Tahoma" w:cs="Tahoma"/>
          <w:sz w:val="20"/>
          <w:szCs w:val="20"/>
        </w:rPr>
        <w:t>ing</w:t>
      </w:r>
      <w:r w:rsidRPr="00A23834">
        <w:rPr>
          <w:rFonts w:ascii="Tahoma" w:eastAsia="標楷體" w:hAnsi="Tahoma" w:cs="Tahoma"/>
          <w:sz w:val="20"/>
          <w:szCs w:val="20"/>
        </w:rPr>
        <w:t xml:space="preserve"> new business relationship.</w:t>
      </w:r>
    </w:p>
    <w:p w14:paraId="707318E6" w14:textId="77777777" w:rsidR="00995826" w:rsidRPr="00A23834" w:rsidRDefault="00735157"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The bank has to take necessary actions to analyze the sources of customers’ wealth and funding, and special attention should be given that no money laundering activities are involved.</w:t>
      </w:r>
    </w:p>
    <w:p w14:paraId="0A8F300F" w14:textId="77777777" w:rsidR="00995826" w:rsidRPr="00A23834" w:rsidRDefault="00995826"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The bank must conduct enhanced ongoing monitoring to maintain its business relationship with high risk profile customers.</w:t>
      </w:r>
    </w:p>
    <w:p w14:paraId="323376B5" w14:textId="77777777" w:rsidR="00C42FE1" w:rsidRPr="00A23834" w:rsidRDefault="00C42FE1"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For a natural person who is classified as a high-risk customer, the bank should obtain at least </w:t>
      </w:r>
      <w:r w:rsidR="0084275F" w:rsidRPr="00A23834">
        <w:rPr>
          <w:rFonts w:ascii="Tahoma" w:eastAsia="標楷體" w:hAnsi="Tahoma" w:cs="Tahoma"/>
          <w:sz w:val="20"/>
          <w:szCs w:val="20"/>
          <w:lang w:eastAsia="zh-HK"/>
        </w:rPr>
        <w:t>one</w:t>
      </w:r>
      <w:r w:rsidRPr="00A23834">
        <w:rPr>
          <w:rFonts w:ascii="Tahoma" w:eastAsia="標楷體" w:hAnsi="Tahoma" w:cs="Tahoma"/>
          <w:sz w:val="20"/>
          <w:szCs w:val="20"/>
        </w:rPr>
        <w:t xml:space="preserve"> of the following information when establishing business relationships:</w:t>
      </w:r>
    </w:p>
    <w:p w14:paraId="7B5DCDA0" w14:textId="77777777" w:rsidR="00C42FE1" w:rsidRPr="00A23834" w:rsidRDefault="00C42FE1"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Any other previous names or alias;</w:t>
      </w:r>
    </w:p>
    <w:p w14:paraId="58A66517" w14:textId="77777777" w:rsidR="00C42FE1" w:rsidRPr="00A23834" w:rsidRDefault="00C42FE1"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Work address, post office box address, e-mail address (if any);</w:t>
      </w:r>
    </w:p>
    <w:p w14:paraId="028107D7" w14:textId="77777777" w:rsidR="00C42FE1" w:rsidRPr="00A23834" w:rsidRDefault="00C42FE1"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Landline or </w:t>
      </w:r>
      <w:r w:rsidR="0084275F" w:rsidRPr="00A23834">
        <w:rPr>
          <w:rFonts w:ascii="Tahoma" w:eastAsia="標楷體" w:hAnsi="Tahoma" w:cs="Tahoma"/>
          <w:sz w:val="20"/>
          <w:szCs w:val="20"/>
        </w:rPr>
        <w:t>mobile phone</w:t>
      </w:r>
      <w:r w:rsidRPr="00A23834">
        <w:rPr>
          <w:rFonts w:ascii="Tahoma" w:eastAsia="標楷體" w:hAnsi="Tahoma" w:cs="Tahoma"/>
          <w:sz w:val="20"/>
          <w:szCs w:val="20"/>
        </w:rPr>
        <w:t xml:space="preserve"> numbers.</w:t>
      </w:r>
    </w:p>
    <w:p w14:paraId="2B166679" w14:textId="77777777" w:rsidR="00621829" w:rsidRPr="00A23834" w:rsidRDefault="00621829" w:rsidP="00677C16">
      <w:pPr>
        <w:snapToGrid w:val="0"/>
        <w:spacing w:line="240" w:lineRule="exact"/>
        <w:jc w:val="both"/>
        <w:rPr>
          <w:rFonts w:ascii="Tahoma" w:eastAsia="標楷體" w:hAnsi="Tahoma" w:cs="Tahoma"/>
          <w:sz w:val="20"/>
          <w:szCs w:val="20"/>
        </w:rPr>
      </w:pPr>
    </w:p>
    <w:p w14:paraId="1565FF9C" w14:textId="77777777" w:rsidR="00D40FD6" w:rsidRPr="00A23834" w:rsidRDefault="00D40FD6" w:rsidP="00677C16">
      <w:pPr>
        <w:snapToGrid w:val="0"/>
        <w:spacing w:line="240" w:lineRule="exact"/>
        <w:jc w:val="both"/>
        <w:rPr>
          <w:rFonts w:ascii="Tahoma" w:eastAsia="標楷體" w:hAnsi="Tahoma" w:cs="Tahoma"/>
          <w:sz w:val="20"/>
          <w:szCs w:val="20"/>
        </w:rPr>
      </w:pPr>
      <w:r w:rsidRPr="00A23834">
        <w:rPr>
          <w:rFonts w:ascii="Tahoma" w:eastAsia="標楷體" w:hAnsi="Tahoma" w:cs="Tahoma"/>
          <w:sz w:val="20"/>
          <w:szCs w:val="20"/>
        </w:rPr>
        <w:t xml:space="preserve">For those </w:t>
      </w:r>
      <w:r w:rsidRPr="00A23834">
        <w:rPr>
          <w:rFonts w:ascii="Tahoma" w:eastAsia="標楷體" w:hAnsi="Tahoma" w:cs="Tahoma" w:hint="eastAsia"/>
          <w:sz w:val="20"/>
          <w:szCs w:val="20"/>
        </w:rPr>
        <w:t>ongoing monitoring</w:t>
      </w:r>
      <w:r w:rsidRPr="00A23834">
        <w:rPr>
          <w:rFonts w:ascii="Tahoma" w:eastAsia="標楷體" w:hAnsi="Tahoma" w:cs="Tahoma"/>
          <w:sz w:val="20"/>
          <w:szCs w:val="20"/>
        </w:rPr>
        <w:t xml:space="preserve"> measured mentioned above, the Bank may implement the following enhanced verification. For example:</w:t>
      </w:r>
    </w:p>
    <w:p w14:paraId="050BD160" w14:textId="77777777" w:rsidR="00D40FD6" w:rsidRPr="00A23834" w:rsidRDefault="00D40FD6" w:rsidP="00677C16">
      <w:pPr>
        <w:pStyle w:val="ListParagraph"/>
        <w:numPr>
          <w:ilvl w:val="0"/>
          <w:numId w:val="23"/>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Obtaining a duly signed reply letter, sent to the address provided by customer, from the customer or the authorized signatory of the customer, or contacting the customer by telephone.</w:t>
      </w:r>
    </w:p>
    <w:p w14:paraId="316C1137" w14:textId="77777777" w:rsidR="00D40FD6" w:rsidRPr="00A23834" w:rsidRDefault="00D40FD6" w:rsidP="00677C16">
      <w:pPr>
        <w:pStyle w:val="ListParagraph"/>
        <w:numPr>
          <w:ilvl w:val="0"/>
          <w:numId w:val="23"/>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Obtaining the document that supports an individual’s sources of wealth and sources of funds.</w:t>
      </w:r>
    </w:p>
    <w:p w14:paraId="19DD2D72" w14:textId="77777777" w:rsidR="00D40FD6" w:rsidRPr="00A23834" w:rsidRDefault="00D40FD6" w:rsidP="00677C16">
      <w:pPr>
        <w:pStyle w:val="ListParagraph"/>
        <w:numPr>
          <w:ilvl w:val="0"/>
          <w:numId w:val="23"/>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On-site visit.</w:t>
      </w:r>
    </w:p>
    <w:p w14:paraId="734D500C" w14:textId="77777777" w:rsidR="00F76FEE" w:rsidRPr="00A23834" w:rsidRDefault="00D40FD6" w:rsidP="00F76FEE">
      <w:pPr>
        <w:pStyle w:val="ListParagraph"/>
        <w:numPr>
          <w:ilvl w:val="0"/>
          <w:numId w:val="23"/>
        </w:numPr>
        <w:snapToGrid w:val="0"/>
        <w:spacing w:line="240" w:lineRule="exact"/>
        <w:ind w:leftChars="0" w:left="482" w:hanging="482"/>
        <w:jc w:val="both"/>
        <w:rPr>
          <w:rFonts w:ascii="Tahoma" w:eastAsia="標楷體" w:hAnsi="Tahoma" w:cs="Tahoma"/>
          <w:sz w:val="20"/>
          <w:szCs w:val="20"/>
        </w:rPr>
      </w:pPr>
      <w:r w:rsidRPr="00A23834">
        <w:rPr>
          <w:rFonts w:ascii="Tahoma" w:eastAsia="標楷體" w:hAnsi="Tahoma" w:cs="Tahoma"/>
          <w:sz w:val="20"/>
          <w:szCs w:val="20"/>
        </w:rPr>
        <w:t>Obtain trading information from other financial institutions that used to have business relationship with the customer.</w:t>
      </w:r>
    </w:p>
    <w:p w14:paraId="0988075D" w14:textId="77777777" w:rsidR="00F76FEE" w:rsidRPr="00A23834" w:rsidRDefault="00F76FEE" w:rsidP="00F76FEE">
      <w:pPr>
        <w:pStyle w:val="ListParagraph"/>
        <w:numPr>
          <w:ilvl w:val="0"/>
          <w:numId w:val="23"/>
        </w:numPr>
        <w:snapToGrid w:val="0"/>
        <w:spacing w:line="240" w:lineRule="exact"/>
        <w:ind w:leftChars="0" w:left="482" w:hanging="482"/>
        <w:jc w:val="both"/>
        <w:rPr>
          <w:rFonts w:ascii="Tahoma" w:eastAsia="標楷體" w:hAnsi="Tahoma" w:cs="Tahoma"/>
          <w:sz w:val="20"/>
          <w:szCs w:val="20"/>
        </w:rPr>
      </w:pPr>
      <w:r w:rsidRPr="00A23834">
        <w:rPr>
          <w:rFonts w:ascii="Tahoma" w:eastAsia="標楷體" w:hAnsi="Tahoma" w:cs="Tahoma"/>
          <w:sz w:val="20"/>
          <w:szCs w:val="20"/>
        </w:rPr>
        <w:t xml:space="preserve">Ensure, where appropriate, that the first payment is made through an account in the client’s name with a credit institution which is subject to standards of vigilance with regard to clients that are no less stringent than those laid down in the Belgian AML Law.   </w:t>
      </w:r>
    </w:p>
    <w:p w14:paraId="1F03D830" w14:textId="6994B8F2" w:rsidR="00F76FEE" w:rsidRPr="00A23834" w:rsidRDefault="00F76FEE" w:rsidP="00F76FEE">
      <w:pPr>
        <w:pStyle w:val="ListParagraph"/>
        <w:numPr>
          <w:ilvl w:val="0"/>
          <w:numId w:val="23"/>
        </w:numPr>
        <w:snapToGrid w:val="0"/>
        <w:spacing w:line="240" w:lineRule="exact"/>
        <w:ind w:leftChars="0" w:left="482" w:hanging="482"/>
        <w:jc w:val="both"/>
        <w:rPr>
          <w:rFonts w:ascii="Tahoma" w:eastAsia="標楷體" w:hAnsi="Tahoma" w:cs="Tahoma"/>
          <w:sz w:val="20"/>
          <w:szCs w:val="20"/>
        </w:rPr>
      </w:pPr>
      <w:r w:rsidRPr="00A23834">
        <w:rPr>
          <w:rFonts w:ascii="Tahoma" w:eastAsia="標楷體" w:hAnsi="Tahoma" w:cs="Tahoma"/>
          <w:sz w:val="20"/>
          <w:szCs w:val="20"/>
        </w:rPr>
        <w:t>Carry out enhanced monitoring of the business relationship by increasing the number and frequency of controls and by selecting transaction patterns that require further information.</w:t>
      </w:r>
    </w:p>
    <w:p w14:paraId="0D3B91E0" w14:textId="2E7176FD" w:rsidR="00C34907" w:rsidRPr="00A23834" w:rsidRDefault="00C723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bookmarkStart w:id="42" w:name="_Toc142480933"/>
      <w:bookmarkStart w:id="43" w:name="_Toc142484962"/>
      <w:r>
        <w:rPr>
          <w:rFonts w:ascii="Tahoma" w:eastAsia="標楷體" w:hAnsi="Tahoma" w:cs="Tahoma" w:hint="eastAsia"/>
          <w:sz w:val="20"/>
          <w:szCs w:val="20"/>
        </w:rPr>
        <w:t>R</w:t>
      </w:r>
      <w:r>
        <w:rPr>
          <w:rFonts w:ascii="Tahoma" w:eastAsia="標楷體" w:hAnsi="Tahoma" w:cs="Tahoma"/>
          <w:sz w:val="20"/>
          <w:szCs w:val="20"/>
        </w:rPr>
        <w:t>equirements of ongoing monitoring</w:t>
      </w:r>
      <w:bookmarkEnd w:id="42"/>
      <w:bookmarkEnd w:id="43"/>
    </w:p>
    <w:p w14:paraId="4157E470" w14:textId="77777777" w:rsidR="00621829" w:rsidRPr="00A23834" w:rsidRDefault="00621829" w:rsidP="00677C16">
      <w:pPr>
        <w:pStyle w:val="ListParagraph"/>
        <w:snapToGrid w:val="0"/>
        <w:spacing w:line="240" w:lineRule="exact"/>
        <w:ind w:leftChars="0" w:left="482"/>
        <w:jc w:val="both"/>
        <w:rPr>
          <w:rFonts w:ascii="Tahoma" w:eastAsia="標楷體" w:hAnsi="Tahoma" w:cs="Tahoma"/>
          <w:sz w:val="20"/>
          <w:szCs w:val="20"/>
        </w:rPr>
      </w:pPr>
    </w:p>
    <w:p w14:paraId="63E38104" w14:textId="472463DF" w:rsidR="006C4166" w:rsidRPr="00C723EE" w:rsidRDefault="00C34907"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kern w:val="0"/>
          <w:sz w:val="20"/>
          <w:szCs w:val="20"/>
        </w:rPr>
        <w:lastRenderedPageBreak/>
        <w:t>The bank shall conduct ongoing monitoring of the business relationship including scrutiny of transactions undertaken throughout the course of that relationship to ensure that the transactions being conducted are consiste</w:t>
      </w:r>
      <w:r w:rsidR="00117F25" w:rsidRPr="00A23834">
        <w:rPr>
          <w:rFonts w:ascii="Tahoma" w:eastAsia="標楷體" w:hAnsi="Tahoma" w:cs="Tahoma"/>
          <w:kern w:val="0"/>
          <w:sz w:val="20"/>
          <w:szCs w:val="20"/>
        </w:rPr>
        <w:t>nt with the bank</w:t>
      </w:r>
      <w:r w:rsidRPr="00A23834">
        <w:rPr>
          <w:rFonts w:ascii="Tahoma" w:eastAsia="標楷體" w:hAnsi="Tahoma" w:cs="Tahoma"/>
          <w:kern w:val="0"/>
          <w:sz w:val="20"/>
          <w:szCs w:val="20"/>
        </w:rPr>
        <w:t>'s knowledge of the customer, the business and risk profile, including where necessary the source of funds.</w:t>
      </w:r>
    </w:p>
    <w:p w14:paraId="5A184F55" w14:textId="77777777" w:rsidR="00C723EE" w:rsidRPr="00A23834" w:rsidRDefault="00C723EE" w:rsidP="00C723EE">
      <w:pPr>
        <w:pStyle w:val="ListParagraph"/>
        <w:snapToGrid w:val="0"/>
        <w:spacing w:line="240" w:lineRule="exact"/>
        <w:ind w:leftChars="0" w:left="482"/>
        <w:jc w:val="both"/>
        <w:rPr>
          <w:rFonts w:ascii="Tahoma" w:eastAsia="標楷體" w:hAnsi="Tahoma" w:cs="Tahoma"/>
          <w:sz w:val="20"/>
          <w:szCs w:val="20"/>
        </w:rPr>
      </w:pPr>
    </w:p>
    <w:p w14:paraId="29D9589C" w14:textId="6035089C" w:rsidR="00C34907" w:rsidRPr="00A23834" w:rsidRDefault="00C34907"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kern w:val="0"/>
          <w:sz w:val="20"/>
          <w:szCs w:val="20"/>
        </w:rPr>
        <w:t>The bank shall routinely review and identify the adequacy of identification information obtained with respect to customers</w:t>
      </w:r>
      <w:r w:rsidR="00087641" w:rsidRPr="00A23834">
        <w:rPr>
          <w:rFonts w:ascii="Tahoma" w:eastAsia="標楷體" w:hAnsi="Tahoma" w:cs="Tahoma"/>
          <w:kern w:val="0"/>
          <w:sz w:val="20"/>
          <w:szCs w:val="20"/>
        </w:rPr>
        <w:t>, proxies</w:t>
      </w:r>
      <w:r w:rsidR="00FD1BE8" w:rsidRPr="00A23834">
        <w:rPr>
          <w:rFonts w:ascii="Tahoma" w:eastAsia="標楷體" w:hAnsi="Tahoma" w:cs="Tahoma"/>
          <w:kern w:val="0"/>
          <w:sz w:val="20"/>
          <w:szCs w:val="20"/>
        </w:rPr>
        <w:t xml:space="preserve"> </w:t>
      </w:r>
      <w:r w:rsidRPr="00A23834">
        <w:rPr>
          <w:rFonts w:ascii="Tahoma" w:eastAsia="標楷體" w:hAnsi="Tahoma" w:cs="Tahoma"/>
          <w:kern w:val="0"/>
          <w:sz w:val="20"/>
          <w:szCs w:val="20"/>
        </w:rPr>
        <w:t xml:space="preserve">and </w:t>
      </w:r>
      <w:r w:rsidR="00087641" w:rsidRPr="00A23834">
        <w:rPr>
          <w:rFonts w:ascii="Tahoma" w:eastAsia="標楷體" w:hAnsi="Tahoma" w:cs="Tahoma"/>
          <w:kern w:val="0"/>
          <w:sz w:val="20"/>
          <w:szCs w:val="20"/>
        </w:rPr>
        <w:t xml:space="preserve">ultimate </w:t>
      </w:r>
      <w:r w:rsidRPr="00A23834">
        <w:rPr>
          <w:rFonts w:ascii="Tahoma" w:eastAsia="標楷體" w:hAnsi="Tahoma" w:cs="Tahoma"/>
          <w:kern w:val="0"/>
          <w:sz w:val="20"/>
          <w:szCs w:val="20"/>
        </w:rPr>
        <w:t>beneficiaries</w:t>
      </w:r>
      <w:r w:rsidR="007005AB" w:rsidRPr="00A23834">
        <w:rPr>
          <w:rFonts w:ascii="Tahoma" w:eastAsia="標楷體" w:hAnsi="Tahoma" w:cs="Tahoma"/>
          <w:kern w:val="0"/>
          <w:sz w:val="20"/>
          <w:szCs w:val="20"/>
        </w:rPr>
        <w:t xml:space="preserve"> </w:t>
      </w:r>
      <w:r w:rsidRPr="00A23834">
        <w:rPr>
          <w:rFonts w:ascii="Tahoma" w:eastAsia="標楷體" w:hAnsi="Tahoma" w:cs="Tahoma"/>
          <w:kern w:val="0"/>
          <w:sz w:val="20"/>
          <w:szCs w:val="20"/>
        </w:rPr>
        <w:t>and ensure that the information is kept up to date, particularly for high-risk profile customers, who sh</w:t>
      </w:r>
      <w:r w:rsidR="00117F25" w:rsidRPr="00A23834">
        <w:rPr>
          <w:rFonts w:ascii="Tahoma" w:eastAsia="標楷體" w:hAnsi="Tahoma" w:cs="Tahoma"/>
          <w:kern w:val="0"/>
          <w:sz w:val="20"/>
          <w:szCs w:val="20"/>
        </w:rPr>
        <w:t>all be reviewed at least once</w:t>
      </w:r>
      <w:r w:rsidRPr="00A23834">
        <w:rPr>
          <w:rFonts w:ascii="Tahoma" w:eastAsia="標楷體" w:hAnsi="Tahoma" w:cs="Tahoma"/>
          <w:kern w:val="0"/>
          <w:sz w:val="20"/>
          <w:szCs w:val="20"/>
        </w:rPr>
        <w:t xml:space="preserve"> annually. For other risk profile customers, the frequency of review is decided based on the risk</w:t>
      </w:r>
      <w:r w:rsidR="00C723EE">
        <w:rPr>
          <w:rFonts w:ascii="Tahoma" w:eastAsia="標楷體" w:hAnsi="Tahoma" w:cs="Tahoma"/>
          <w:kern w:val="0"/>
          <w:sz w:val="20"/>
          <w:szCs w:val="20"/>
        </w:rPr>
        <w:t>-</w:t>
      </w:r>
      <w:r w:rsidRPr="00A23834">
        <w:rPr>
          <w:rFonts w:ascii="Tahoma" w:eastAsia="標楷體" w:hAnsi="Tahoma" w:cs="Tahoma"/>
          <w:kern w:val="0"/>
          <w:sz w:val="20"/>
          <w:szCs w:val="20"/>
        </w:rPr>
        <w:t>base</w:t>
      </w:r>
      <w:r w:rsidR="00087641" w:rsidRPr="00A23834">
        <w:rPr>
          <w:rFonts w:ascii="Tahoma" w:eastAsia="標楷體" w:hAnsi="Tahoma" w:cs="Tahoma"/>
          <w:kern w:val="0"/>
          <w:sz w:val="20"/>
          <w:szCs w:val="20"/>
        </w:rPr>
        <w:t>d</w:t>
      </w:r>
      <w:r w:rsidRPr="00A23834">
        <w:rPr>
          <w:rFonts w:ascii="Tahoma" w:eastAsia="標楷體" w:hAnsi="Tahoma" w:cs="Tahoma"/>
          <w:kern w:val="0"/>
          <w:sz w:val="20"/>
          <w:szCs w:val="20"/>
        </w:rPr>
        <w:t xml:space="preserve"> approach.</w:t>
      </w:r>
    </w:p>
    <w:p w14:paraId="12293091" w14:textId="77777777" w:rsidR="00621829" w:rsidRPr="00A23834" w:rsidRDefault="00621829" w:rsidP="00677C16">
      <w:pPr>
        <w:pStyle w:val="ListParagraph"/>
        <w:snapToGrid w:val="0"/>
        <w:spacing w:line="240" w:lineRule="exact"/>
        <w:ind w:leftChars="0" w:left="482"/>
        <w:jc w:val="both"/>
        <w:rPr>
          <w:rFonts w:ascii="Tahoma" w:eastAsia="標楷體" w:hAnsi="Tahoma" w:cs="Tahoma"/>
          <w:sz w:val="20"/>
          <w:szCs w:val="20"/>
        </w:rPr>
      </w:pPr>
    </w:p>
    <w:p w14:paraId="5138E0A0" w14:textId="77777777" w:rsidR="00C34907" w:rsidRPr="00A23834" w:rsidRDefault="00C34907"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kern w:val="0"/>
          <w:sz w:val="20"/>
          <w:szCs w:val="20"/>
        </w:rPr>
        <w:t>The bank is entitled to rely on the identification and verification steps that it has already undertaken, therefore the bank is allowed not to repeatedly identify and verify the identity of each customer every time that a customer conducts a transaction unless it has doubts about the veracity of that information. Examples of situations that might lead a banking business to have such doubts could be where there is a suspicion of money laundering or the financing of terrorism in relation to that customer, or where there is a material change in the way that the customer’s account is operated that is not consistent with the customer’s business profile.</w:t>
      </w:r>
    </w:p>
    <w:p w14:paraId="0E0E2B93" w14:textId="77777777" w:rsidR="00621829" w:rsidRPr="00A23834" w:rsidRDefault="00621829" w:rsidP="00677C16">
      <w:pPr>
        <w:pStyle w:val="ListParagraph"/>
        <w:snapToGrid w:val="0"/>
        <w:spacing w:line="240" w:lineRule="exact"/>
        <w:ind w:leftChars="0" w:left="482"/>
        <w:jc w:val="both"/>
        <w:rPr>
          <w:rFonts w:ascii="Tahoma" w:eastAsia="標楷體" w:hAnsi="Tahoma" w:cs="Tahoma"/>
          <w:sz w:val="20"/>
          <w:szCs w:val="20"/>
        </w:rPr>
      </w:pPr>
    </w:p>
    <w:p w14:paraId="50AA6AE3" w14:textId="6D982BA6" w:rsidR="00C34907" w:rsidRPr="00A23834" w:rsidRDefault="00C34907"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When the verification of the identity of </w:t>
      </w:r>
      <w:r w:rsidR="00B80380" w:rsidRPr="00A23834">
        <w:rPr>
          <w:rFonts w:ascii="Tahoma" w:eastAsia="標楷體" w:hAnsi="Tahoma" w:cs="Tahoma"/>
          <w:sz w:val="20"/>
          <w:szCs w:val="20"/>
        </w:rPr>
        <w:t>customer</w:t>
      </w:r>
      <w:r w:rsidRPr="00A23834">
        <w:rPr>
          <w:rFonts w:ascii="Tahoma" w:eastAsia="標楷體" w:hAnsi="Tahoma" w:cs="Tahoma"/>
          <w:sz w:val="20"/>
          <w:szCs w:val="20"/>
        </w:rPr>
        <w:t>s cann</w:t>
      </w:r>
      <w:r w:rsidR="00117F25" w:rsidRPr="00A23834">
        <w:rPr>
          <w:rFonts w:ascii="Tahoma" w:eastAsia="標楷體" w:hAnsi="Tahoma" w:cs="Tahoma"/>
          <w:sz w:val="20"/>
          <w:szCs w:val="20"/>
        </w:rPr>
        <w:t>ot be reasonably effected, the b</w:t>
      </w:r>
      <w:r w:rsidRPr="00A23834">
        <w:rPr>
          <w:rFonts w:ascii="Tahoma" w:eastAsia="標楷體" w:hAnsi="Tahoma" w:cs="Tahoma"/>
          <w:sz w:val="20"/>
          <w:szCs w:val="20"/>
        </w:rPr>
        <w:t xml:space="preserve">ank shall document the </w:t>
      </w:r>
      <w:r w:rsidR="00E60C26" w:rsidRPr="00A23834">
        <w:rPr>
          <w:rFonts w:ascii="Tahoma" w:eastAsia="標楷體" w:hAnsi="Tahoma" w:cs="Tahoma"/>
          <w:sz w:val="20"/>
          <w:szCs w:val="20"/>
        </w:rPr>
        <w:t>measures</w:t>
      </w:r>
      <w:r w:rsidR="00C50974" w:rsidRPr="00A23834">
        <w:rPr>
          <w:rFonts w:ascii="Tahoma" w:eastAsia="標楷體" w:hAnsi="Tahoma" w:cs="Tahoma"/>
          <w:sz w:val="20"/>
          <w:szCs w:val="20"/>
        </w:rPr>
        <w:t xml:space="preserve"> having</w:t>
      </w:r>
      <w:r w:rsidR="00E60C26" w:rsidRPr="00A23834">
        <w:rPr>
          <w:rFonts w:ascii="Tahoma" w:eastAsia="標楷體" w:hAnsi="Tahoma" w:cs="Tahoma"/>
          <w:sz w:val="20"/>
          <w:szCs w:val="20"/>
        </w:rPr>
        <w:t xml:space="preserve"> been implemented. The b</w:t>
      </w:r>
      <w:r w:rsidRPr="00A23834">
        <w:rPr>
          <w:rFonts w:ascii="Tahoma" w:eastAsia="標楷體" w:hAnsi="Tahoma" w:cs="Tahoma"/>
          <w:sz w:val="20"/>
          <w:szCs w:val="20"/>
        </w:rPr>
        <w:t>ank should refuse to enter into a business relationship or perform the transaction requested</w:t>
      </w:r>
      <w:r w:rsidR="00474036" w:rsidRPr="00A23834">
        <w:rPr>
          <w:rFonts w:ascii="Tahoma" w:eastAsia="標楷體" w:hAnsi="Tahoma" w:cs="Tahoma"/>
          <w:sz w:val="20"/>
          <w:szCs w:val="20"/>
        </w:rPr>
        <w:t>, or terminate any already established business relationship,</w:t>
      </w:r>
      <w:r w:rsidRPr="00A23834">
        <w:rPr>
          <w:rFonts w:ascii="Tahoma" w:eastAsia="標楷體" w:hAnsi="Tahoma" w:cs="Tahoma"/>
          <w:sz w:val="20"/>
          <w:szCs w:val="20"/>
        </w:rPr>
        <w:t xml:space="preserve"> in order to</w:t>
      </w:r>
      <w:r w:rsidR="00FD1BE8" w:rsidRPr="00A23834">
        <w:rPr>
          <w:rFonts w:ascii="Tahoma" w:eastAsia="標楷體" w:hAnsi="Tahoma" w:cs="Tahoma"/>
          <w:sz w:val="20"/>
          <w:szCs w:val="20"/>
        </w:rPr>
        <w:t xml:space="preserve"> </w:t>
      </w:r>
      <w:r w:rsidRPr="00A23834">
        <w:rPr>
          <w:rFonts w:ascii="Tahoma" w:eastAsia="標楷體" w:hAnsi="Tahoma" w:cs="Tahoma"/>
          <w:sz w:val="20"/>
          <w:szCs w:val="20"/>
        </w:rPr>
        <w:t>unreasonably aggravate the risk of money laundering or financing of terrorism.</w:t>
      </w:r>
    </w:p>
    <w:p w14:paraId="34D3610E" w14:textId="09E2ACEA" w:rsidR="00F363FE" w:rsidRPr="00A23834" w:rsidRDefault="00C723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bookmarkStart w:id="44" w:name="_Toc142480934"/>
      <w:bookmarkStart w:id="45" w:name="_Toc142484963"/>
      <w:r>
        <w:rPr>
          <w:rFonts w:ascii="Tahoma" w:eastAsia="標楷體" w:hAnsi="Tahoma" w:cs="Tahoma"/>
          <w:sz w:val="20"/>
          <w:szCs w:val="20"/>
        </w:rPr>
        <w:t>Internal Procedures regarding ongoing monitoring</w:t>
      </w:r>
      <w:bookmarkEnd w:id="44"/>
      <w:bookmarkEnd w:id="45"/>
    </w:p>
    <w:p w14:paraId="2C3F20B7" w14:textId="77777777" w:rsidR="00621829" w:rsidRPr="00A23834" w:rsidRDefault="00621829" w:rsidP="00677C16">
      <w:pPr>
        <w:pStyle w:val="ListParagraph"/>
        <w:snapToGrid w:val="0"/>
        <w:spacing w:line="240" w:lineRule="exact"/>
        <w:ind w:leftChars="0" w:left="482"/>
        <w:jc w:val="both"/>
        <w:rPr>
          <w:rFonts w:ascii="Tahoma" w:eastAsia="標楷體" w:hAnsi="Tahoma" w:cs="Tahoma"/>
          <w:sz w:val="20"/>
          <w:szCs w:val="20"/>
          <w:lang w:eastAsia="zh-HK"/>
        </w:rPr>
      </w:pPr>
    </w:p>
    <w:p w14:paraId="0CD6E307" w14:textId="51EE8C9E" w:rsidR="00F363FE" w:rsidRDefault="003B17F3"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sz w:val="20"/>
          <w:szCs w:val="20"/>
          <w:lang w:eastAsia="zh-HK"/>
        </w:rPr>
        <w:t>Based on the ris</w:t>
      </w:r>
      <w:r w:rsidR="004D34F8" w:rsidRPr="00A23834">
        <w:rPr>
          <w:rFonts w:ascii="Tahoma" w:eastAsia="標楷體" w:hAnsi="Tahoma" w:cs="Tahoma"/>
          <w:sz w:val="20"/>
          <w:szCs w:val="20"/>
          <w:lang w:eastAsia="zh-HK"/>
        </w:rPr>
        <w:t>k-based approach, the b</w:t>
      </w:r>
      <w:r w:rsidRPr="00A23834">
        <w:rPr>
          <w:rFonts w:ascii="Tahoma" w:eastAsia="標楷體" w:hAnsi="Tahoma" w:cs="Tahoma"/>
          <w:sz w:val="20"/>
          <w:szCs w:val="20"/>
          <w:lang w:eastAsia="zh-HK"/>
        </w:rPr>
        <w:t xml:space="preserve">ank shall establish its internal procedure of </w:t>
      </w:r>
      <w:r w:rsidRPr="00A23834">
        <w:rPr>
          <w:rFonts w:ascii="Tahoma" w:eastAsia="標楷體" w:hAnsi="Tahoma" w:cs="Tahoma"/>
          <w:sz w:val="20"/>
          <w:szCs w:val="20"/>
        </w:rPr>
        <w:t xml:space="preserve">ongoing monitoring measures of accounts and transaction by using the </w:t>
      </w:r>
      <w:r w:rsidRPr="00A23834">
        <w:rPr>
          <w:rFonts w:ascii="Tahoma" w:eastAsia="標楷體" w:hAnsi="Tahoma" w:cs="Tahoma"/>
          <w:sz w:val="20"/>
          <w:szCs w:val="20"/>
          <w:lang w:eastAsia="zh-HK"/>
        </w:rPr>
        <w:t>information system to discover the suspicious transaction.</w:t>
      </w:r>
    </w:p>
    <w:p w14:paraId="479578E4" w14:textId="77777777" w:rsidR="00C723EE" w:rsidRPr="00A23834" w:rsidRDefault="00C723EE" w:rsidP="00C723EE">
      <w:pPr>
        <w:pStyle w:val="ListParagraph"/>
        <w:snapToGrid w:val="0"/>
        <w:spacing w:line="240" w:lineRule="exact"/>
        <w:ind w:leftChars="0" w:left="482"/>
        <w:jc w:val="both"/>
        <w:rPr>
          <w:rFonts w:ascii="Tahoma" w:eastAsia="標楷體" w:hAnsi="Tahoma" w:cs="Tahoma"/>
          <w:sz w:val="20"/>
          <w:szCs w:val="20"/>
          <w:lang w:eastAsia="zh-HK"/>
        </w:rPr>
      </w:pPr>
    </w:p>
    <w:p w14:paraId="2AD02F27" w14:textId="4C4BA775" w:rsidR="003B17F3" w:rsidRDefault="003B17F3"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sz w:val="20"/>
          <w:szCs w:val="20"/>
        </w:rPr>
        <w:t xml:space="preserve">When discovering or reasonably suspecting that the customer, </w:t>
      </w:r>
      <w:r w:rsidRPr="00A23834">
        <w:rPr>
          <w:rFonts w:ascii="Tahoma" w:eastAsia="標楷體" w:hAnsi="Tahoma" w:cs="Tahoma"/>
          <w:sz w:val="20"/>
          <w:szCs w:val="20"/>
          <w:lang w:eastAsia="zh-HK"/>
        </w:rPr>
        <w:t>funds, assets, or transaction implement</w:t>
      </w:r>
      <w:r w:rsidR="00C65FCA" w:rsidRPr="00A23834">
        <w:rPr>
          <w:rFonts w:ascii="Tahoma" w:eastAsia="標楷體" w:hAnsi="Tahoma" w:cs="Tahoma"/>
          <w:sz w:val="20"/>
          <w:szCs w:val="20"/>
          <w:lang w:eastAsia="zh-HK"/>
        </w:rPr>
        <w:t>ed</w:t>
      </w:r>
      <w:r w:rsidRPr="00A23834">
        <w:rPr>
          <w:rFonts w:ascii="Tahoma" w:eastAsia="標楷體" w:hAnsi="Tahoma" w:cs="Tahoma"/>
          <w:sz w:val="20"/>
          <w:szCs w:val="20"/>
          <w:lang w:eastAsia="zh-HK"/>
        </w:rPr>
        <w:t xml:space="preserve"> are related to money laundering or terrorists</w:t>
      </w:r>
      <w:r w:rsidR="004D34F8" w:rsidRPr="00A23834">
        <w:rPr>
          <w:rFonts w:ascii="Tahoma" w:eastAsia="標楷體" w:hAnsi="Tahoma" w:cs="Tahoma"/>
          <w:sz w:val="20"/>
          <w:szCs w:val="20"/>
          <w:lang w:eastAsia="zh-HK"/>
        </w:rPr>
        <w:t xml:space="preserve"> financing, the b</w:t>
      </w:r>
      <w:r w:rsidR="0069409B" w:rsidRPr="00A23834">
        <w:rPr>
          <w:rFonts w:ascii="Tahoma" w:eastAsia="標楷體" w:hAnsi="Tahoma" w:cs="Tahoma"/>
          <w:sz w:val="20"/>
          <w:szCs w:val="20"/>
          <w:lang w:eastAsia="zh-HK"/>
        </w:rPr>
        <w:t>ank shall re-verif</w:t>
      </w:r>
      <w:r w:rsidR="00202A8D" w:rsidRPr="00A23834">
        <w:rPr>
          <w:rFonts w:ascii="Tahoma" w:eastAsia="標楷體" w:hAnsi="Tahoma" w:cs="Tahoma"/>
          <w:sz w:val="20"/>
          <w:szCs w:val="20"/>
          <w:lang w:eastAsia="zh-HK"/>
        </w:rPr>
        <w:t>y</w:t>
      </w:r>
      <w:r w:rsidRPr="00A23834">
        <w:rPr>
          <w:rFonts w:ascii="Tahoma" w:eastAsia="標楷體" w:hAnsi="Tahoma" w:cs="Tahoma"/>
          <w:sz w:val="20"/>
          <w:szCs w:val="20"/>
          <w:lang w:eastAsia="zh-HK"/>
        </w:rPr>
        <w:t xml:space="preserve"> the customer’s identity no matter what</w:t>
      </w:r>
      <w:r w:rsidR="00C65FCA" w:rsidRPr="00A23834">
        <w:rPr>
          <w:rFonts w:ascii="Tahoma" w:eastAsia="標楷體" w:hAnsi="Tahoma" w:cs="Tahoma"/>
          <w:sz w:val="20"/>
          <w:szCs w:val="20"/>
          <w:lang w:eastAsia="zh-HK"/>
        </w:rPr>
        <w:t>ever</w:t>
      </w:r>
      <w:r w:rsidRPr="00A23834">
        <w:rPr>
          <w:rFonts w:ascii="Tahoma" w:eastAsia="標楷體" w:hAnsi="Tahoma" w:cs="Tahoma"/>
          <w:sz w:val="20"/>
          <w:szCs w:val="20"/>
          <w:lang w:eastAsia="zh-HK"/>
        </w:rPr>
        <w:t xml:space="preserve"> the amount or value is or whether the transaction is completed.</w:t>
      </w:r>
    </w:p>
    <w:p w14:paraId="0D640B2C" w14:textId="77777777" w:rsidR="00C723EE" w:rsidRPr="00C723EE" w:rsidRDefault="00C723EE" w:rsidP="00C723EE">
      <w:pPr>
        <w:snapToGrid w:val="0"/>
        <w:spacing w:line="240" w:lineRule="exact"/>
        <w:jc w:val="both"/>
        <w:rPr>
          <w:rFonts w:ascii="Tahoma" w:eastAsia="標楷體" w:hAnsi="Tahoma" w:cs="Tahoma"/>
          <w:sz w:val="20"/>
          <w:szCs w:val="20"/>
          <w:lang w:eastAsia="zh-HK"/>
        </w:rPr>
      </w:pPr>
    </w:p>
    <w:p w14:paraId="0FADBA12" w14:textId="4B8AF6CC" w:rsidR="00995826" w:rsidRDefault="00DA38B8"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sz w:val="20"/>
          <w:szCs w:val="20"/>
          <w:lang w:eastAsia="zh-HK"/>
        </w:rPr>
        <w:t>For the warning transaction which is suspicious of or showing the signs of terrorism financing, the bank need</w:t>
      </w:r>
      <w:r w:rsidR="004D34F8" w:rsidRPr="00A23834">
        <w:rPr>
          <w:rFonts w:ascii="Tahoma" w:eastAsia="標楷體" w:hAnsi="Tahoma" w:cs="Tahoma"/>
          <w:sz w:val="20"/>
          <w:szCs w:val="20"/>
          <w:lang w:eastAsia="zh-HK"/>
        </w:rPr>
        <w:t>s</w:t>
      </w:r>
      <w:r w:rsidRPr="00A23834">
        <w:rPr>
          <w:rFonts w:ascii="Tahoma" w:eastAsia="標楷體" w:hAnsi="Tahoma" w:cs="Tahoma"/>
          <w:sz w:val="20"/>
          <w:szCs w:val="20"/>
          <w:lang w:eastAsia="zh-HK"/>
        </w:rPr>
        <w:t xml:space="preserve"> not only</w:t>
      </w:r>
      <w:r w:rsidR="00AC422A" w:rsidRPr="00A23834">
        <w:rPr>
          <w:rFonts w:ascii="Tahoma" w:eastAsia="標楷體" w:hAnsi="Tahoma" w:cs="Tahoma"/>
          <w:sz w:val="20"/>
          <w:szCs w:val="20"/>
          <w:lang w:eastAsia="zh-HK"/>
        </w:rPr>
        <w:t xml:space="preserve"> to check if the transaction (i) </w:t>
      </w:r>
      <w:r w:rsidRPr="00A23834">
        <w:rPr>
          <w:rFonts w:ascii="Tahoma" w:eastAsia="標楷體" w:hAnsi="Tahoma" w:cs="Tahoma"/>
          <w:sz w:val="20"/>
          <w:szCs w:val="20"/>
          <w:lang w:eastAsia="zh-HK"/>
        </w:rPr>
        <w:t>do</w:t>
      </w:r>
      <w:r w:rsidR="00AC422A" w:rsidRPr="00A23834">
        <w:rPr>
          <w:rFonts w:ascii="Tahoma" w:eastAsia="標楷體" w:hAnsi="Tahoma" w:cs="Tahoma"/>
          <w:sz w:val="20"/>
          <w:szCs w:val="20"/>
          <w:lang w:eastAsia="zh-HK"/>
        </w:rPr>
        <w:t>es</w:t>
      </w:r>
      <w:r w:rsidRPr="00A23834">
        <w:rPr>
          <w:rFonts w:ascii="Tahoma" w:eastAsia="標楷體" w:hAnsi="Tahoma" w:cs="Tahoma"/>
          <w:sz w:val="20"/>
          <w:szCs w:val="20"/>
          <w:lang w:eastAsia="zh-HK"/>
        </w:rPr>
        <w:t xml:space="preserve"> not appear to be commensurate with the customer’s status</w:t>
      </w:r>
      <w:r w:rsidR="00AC422A" w:rsidRPr="00A23834">
        <w:rPr>
          <w:rFonts w:ascii="Tahoma" w:eastAsia="標楷體" w:hAnsi="Tahoma" w:cs="Tahoma"/>
          <w:sz w:val="20"/>
          <w:szCs w:val="20"/>
          <w:lang w:eastAsia="zh-HK"/>
        </w:rPr>
        <w:t>,</w:t>
      </w:r>
      <w:r w:rsidRPr="00A23834">
        <w:rPr>
          <w:rFonts w:ascii="Tahoma" w:eastAsia="標楷體" w:hAnsi="Tahoma" w:cs="Tahoma"/>
          <w:sz w:val="20"/>
          <w:szCs w:val="20"/>
          <w:lang w:eastAsia="zh-HK"/>
        </w:rPr>
        <w:t xml:space="preserve"> income or</w:t>
      </w:r>
      <w:r w:rsidR="00AC422A" w:rsidRPr="00A23834">
        <w:rPr>
          <w:rFonts w:ascii="Tahoma" w:eastAsia="標楷體" w:hAnsi="Tahoma" w:cs="Tahoma"/>
          <w:sz w:val="20"/>
          <w:szCs w:val="20"/>
          <w:lang w:eastAsia="zh-HK"/>
        </w:rPr>
        <w:t xml:space="preserve"> business scale, or (ii) is</w:t>
      </w:r>
      <w:r w:rsidRPr="00A23834">
        <w:rPr>
          <w:rFonts w:ascii="Tahoma" w:eastAsia="標楷體" w:hAnsi="Tahoma" w:cs="Tahoma"/>
          <w:sz w:val="20"/>
          <w:szCs w:val="20"/>
          <w:lang w:eastAsia="zh-HK"/>
        </w:rPr>
        <w:t xml:space="preserve"> unrelated to the nature of the customer’s business</w:t>
      </w:r>
      <w:r w:rsidR="00AC422A" w:rsidRPr="00A23834">
        <w:rPr>
          <w:rFonts w:ascii="Tahoma" w:eastAsia="標楷體" w:hAnsi="Tahoma" w:cs="Tahoma"/>
          <w:sz w:val="20"/>
          <w:szCs w:val="20"/>
          <w:lang w:eastAsia="zh-HK"/>
        </w:rPr>
        <w:t xml:space="preserve"> or not compatible with the customer’s business model, (iii) does not </w:t>
      </w:r>
      <w:r w:rsidR="004042BD" w:rsidRPr="00A23834">
        <w:rPr>
          <w:rFonts w:ascii="Tahoma" w:eastAsia="標楷體" w:hAnsi="Tahoma" w:cs="Tahoma"/>
          <w:sz w:val="20"/>
          <w:szCs w:val="20"/>
          <w:lang w:eastAsia="zh-HK"/>
        </w:rPr>
        <w:t xml:space="preserve">have </w:t>
      </w:r>
      <w:r w:rsidR="00AC422A" w:rsidRPr="00A23834">
        <w:rPr>
          <w:rFonts w:ascii="Tahoma" w:eastAsia="標楷體" w:hAnsi="Tahoma" w:cs="Tahoma"/>
          <w:sz w:val="20"/>
          <w:szCs w:val="20"/>
          <w:lang w:eastAsia="zh-HK"/>
        </w:rPr>
        <w:t>reasonable economic purpose or explanation,</w:t>
      </w:r>
      <w:r w:rsidR="00744111" w:rsidRPr="00A23834">
        <w:rPr>
          <w:rFonts w:ascii="Tahoma" w:eastAsia="標楷體" w:hAnsi="Tahoma" w:cs="Tahoma"/>
          <w:sz w:val="20"/>
          <w:szCs w:val="20"/>
          <w:lang w:eastAsia="zh-HK"/>
        </w:rPr>
        <w:t xml:space="preserve"> and (iv) has unknown or unclear origin of funding, it also needs to keep the checking record. If the transaction is not suspicious of or showing </w:t>
      </w:r>
      <w:r w:rsidR="0069409B" w:rsidRPr="00A23834">
        <w:rPr>
          <w:rFonts w:ascii="Tahoma" w:eastAsia="標楷體" w:hAnsi="Tahoma" w:cs="Tahoma"/>
          <w:sz w:val="20"/>
          <w:szCs w:val="20"/>
          <w:lang w:eastAsia="zh-HK"/>
        </w:rPr>
        <w:t>no</w:t>
      </w:r>
      <w:r w:rsidR="00744111" w:rsidRPr="00A23834">
        <w:rPr>
          <w:rFonts w:ascii="Tahoma" w:eastAsia="標楷體" w:hAnsi="Tahoma" w:cs="Tahoma"/>
          <w:sz w:val="20"/>
          <w:szCs w:val="20"/>
          <w:lang w:eastAsia="zh-HK"/>
        </w:rPr>
        <w:t xml:space="preserve"> signs of terrorism </w:t>
      </w:r>
      <w:r w:rsidR="0069409B" w:rsidRPr="00A23834">
        <w:rPr>
          <w:rFonts w:ascii="Tahoma" w:eastAsia="標楷體" w:hAnsi="Tahoma" w:cs="Tahoma"/>
          <w:sz w:val="20"/>
          <w:szCs w:val="20"/>
          <w:lang w:eastAsia="zh-HK"/>
        </w:rPr>
        <w:t>financing, the bank needs to keep</w:t>
      </w:r>
      <w:r w:rsidR="00744111" w:rsidRPr="00A23834">
        <w:rPr>
          <w:rFonts w:ascii="Tahoma" w:eastAsia="標楷體" w:hAnsi="Tahoma" w:cs="Tahoma"/>
          <w:sz w:val="20"/>
          <w:szCs w:val="20"/>
          <w:lang w:eastAsia="zh-HK"/>
        </w:rPr>
        <w:t xml:space="preserve"> a record and</w:t>
      </w:r>
      <w:r w:rsidR="0069409B" w:rsidRPr="00A23834">
        <w:rPr>
          <w:rFonts w:ascii="Tahoma" w:eastAsia="標楷體" w:hAnsi="Tahoma" w:cs="Tahoma"/>
          <w:sz w:val="20"/>
          <w:szCs w:val="20"/>
          <w:lang w:eastAsia="zh-HK"/>
        </w:rPr>
        <w:t xml:space="preserve"> document the reason why the transaction is not suspicious</w:t>
      </w:r>
      <w:r w:rsidR="0024059F" w:rsidRPr="00A23834">
        <w:rPr>
          <w:rFonts w:ascii="Tahoma" w:eastAsia="標楷體" w:hAnsi="Tahoma" w:cs="Tahoma"/>
          <w:sz w:val="20"/>
          <w:szCs w:val="20"/>
          <w:lang w:eastAsia="zh-HK"/>
        </w:rPr>
        <w:t>; however, if the transaction is suspicious of or showing the signs of terrorism financing, the bank</w:t>
      </w:r>
      <w:r w:rsidR="00744111" w:rsidRPr="00A23834">
        <w:rPr>
          <w:rFonts w:ascii="Tahoma" w:eastAsia="標楷體" w:hAnsi="Tahoma" w:cs="Tahoma"/>
          <w:sz w:val="20"/>
          <w:szCs w:val="20"/>
          <w:lang w:eastAsia="zh-HK"/>
        </w:rPr>
        <w:t xml:space="preserve"> should</w:t>
      </w:r>
      <w:r w:rsidR="0024059F" w:rsidRPr="00A23834">
        <w:rPr>
          <w:rFonts w:ascii="Tahoma" w:eastAsia="標楷體" w:hAnsi="Tahoma" w:cs="Tahoma"/>
          <w:sz w:val="20"/>
          <w:szCs w:val="20"/>
          <w:lang w:eastAsia="zh-HK"/>
        </w:rPr>
        <w:t xml:space="preserve"> not only confirm the customer’s identity and retain the transaction</w:t>
      </w:r>
      <w:r w:rsidR="008A0276" w:rsidRPr="00A23834">
        <w:rPr>
          <w:rFonts w:ascii="Tahoma" w:eastAsia="標楷體" w:hAnsi="Tahoma" w:cs="Tahoma"/>
          <w:sz w:val="20"/>
          <w:szCs w:val="20"/>
          <w:lang w:eastAsia="zh-HK"/>
        </w:rPr>
        <w:t xml:space="preserve"> documents, but also need</w:t>
      </w:r>
      <w:r w:rsidR="0024059F" w:rsidRPr="00A23834">
        <w:rPr>
          <w:rFonts w:ascii="Tahoma" w:eastAsia="標楷體" w:hAnsi="Tahoma" w:cs="Tahoma"/>
          <w:sz w:val="20"/>
          <w:szCs w:val="20"/>
          <w:lang w:eastAsia="zh-HK"/>
        </w:rPr>
        <w:t xml:space="preserve"> to</w:t>
      </w:r>
      <w:r w:rsidR="00744111" w:rsidRPr="00A23834">
        <w:rPr>
          <w:rFonts w:ascii="Tahoma" w:eastAsia="標楷體" w:hAnsi="Tahoma" w:cs="Tahoma"/>
          <w:sz w:val="20"/>
          <w:szCs w:val="20"/>
          <w:lang w:eastAsia="zh-HK"/>
        </w:rPr>
        <w:t xml:space="preserve"> report to CTIF-CFI</w:t>
      </w:r>
      <w:r w:rsidR="0024059F" w:rsidRPr="00A23834">
        <w:rPr>
          <w:rFonts w:ascii="Tahoma" w:eastAsia="標楷體" w:hAnsi="Tahoma" w:cs="Tahoma"/>
          <w:sz w:val="20"/>
          <w:szCs w:val="20"/>
          <w:lang w:eastAsia="zh-HK"/>
        </w:rPr>
        <w:t xml:space="preserve"> after confirmation. </w:t>
      </w:r>
    </w:p>
    <w:p w14:paraId="2D2ADC88" w14:textId="77777777" w:rsidR="00C723EE" w:rsidRPr="00C723EE" w:rsidRDefault="00C723EE" w:rsidP="00C723EE">
      <w:pPr>
        <w:snapToGrid w:val="0"/>
        <w:spacing w:line="240" w:lineRule="exact"/>
        <w:jc w:val="both"/>
        <w:rPr>
          <w:rFonts w:ascii="Tahoma" w:eastAsia="標楷體" w:hAnsi="Tahoma" w:cs="Tahoma"/>
          <w:sz w:val="20"/>
          <w:szCs w:val="20"/>
          <w:lang w:eastAsia="zh-HK"/>
        </w:rPr>
      </w:pPr>
    </w:p>
    <w:p w14:paraId="16C80248" w14:textId="77777777" w:rsidR="003B17F3" w:rsidRPr="00A23834" w:rsidRDefault="00895040" w:rsidP="00677C16">
      <w:pPr>
        <w:pStyle w:val="ListParagraph"/>
        <w:numPr>
          <w:ilvl w:val="1"/>
          <w:numId w:val="5"/>
        </w:numPr>
        <w:snapToGrid w:val="0"/>
        <w:spacing w:line="240" w:lineRule="exact"/>
        <w:ind w:leftChars="0"/>
        <w:jc w:val="both"/>
        <w:rPr>
          <w:rFonts w:ascii="Tahoma" w:eastAsia="標楷體" w:hAnsi="Tahoma" w:cs="Tahoma"/>
          <w:sz w:val="20"/>
          <w:szCs w:val="20"/>
          <w:lang w:eastAsia="zh-HK"/>
        </w:rPr>
      </w:pPr>
      <w:r w:rsidRPr="00A23834">
        <w:rPr>
          <w:rFonts w:ascii="Tahoma" w:eastAsia="標楷體" w:hAnsi="Tahoma" w:cs="Tahoma"/>
          <w:sz w:val="20"/>
          <w:szCs w:val="20"/>
          <w:lang w:eastAsia="zh-HK"/>
        </w:rPr>
        <w:t>The Bank shall establish the procedures for a complete monitoring system, and carrying out the setting of parameters, threshold amounts, alerts and monitoring operations, the procedures for checking the monitored cases and reporting standards, and shall be documented. The monitoring procedures and the standard mentioned shall be updated periodically. The implementation status shall also be recorded and preserved.</w:t>
      </w:r>
    </w:p>
    <w:p w14:paraId="120C5169" w14:textId="77777777" w:rsidR="00DB6F86" w:rsidRPr="00A23834" w:rsidRDefault="00DB6F86" w:rsidP="00677C16">
      <w:pPr>
        <w:pStyle w:val="ListParagraph"/>
        <w:snapToGrid w:val="0"/>
        <w:spacing w:line="240" w:lineRule="exact"/>
        <w:ind w:leftChars="0" w:left="482"/>
        <w:jc w:val="both"/>
        <w:rPr>
          <w:rFonts w:ascii="Tahoma" w:eastAsia="標楷體" w:hAnsi="Tahoma" w:cs="Tahoma"/>
          <w:sz w:val="20"/>
          <w:szCs w:val="20"/>
          <w:lang w:eastAsia="zh-HK"/>
        </w:rPr>
      </w:pPr>
    </w:p>
    <w:p w14:paraId="7D9BE708" w14:textId="77777777" w:rsidR="00F363FE" w:rsidRPr="00A23834" w:rsidRDefault="00F363FE" w:rsidP="00E25E8A">
      <w:pPr>
        <w:pStyle w:val="Heading1"/>
        <w:rPr>
          <w:rFonts w:ascii="Tahoma" w:eastAsia="標楷體" w:hAnsi="Tahoma" w:cs="Tahoma"/>
          <w:b/>
          <w:color w:val="auto"/>
          <w:sz w:val="24"/>
          <w:szCs w:val="24"/>
        </w:rPr>
      </w:pPr>
      <w:bookmarkStart w:id="46" w:name="_Toc142480935"/>
      <w:bookmarkStart w:id="47" w:name="_Toc142484964"/>
      <w:r w:rsidRPr="00A23834">
        <w:rPr>
          <w:rFonts w:ascii="Tahoma" w:eastAsia="標楷體" w:hAnsi="Tahoma" w:cs="Tahoma"/>
          <w:b/>
          <w:color w:val="auto"/>
          <w:sz w:val="24"/>
          <w:szCs w:val="24"/>
        </w:rPr>
        <w:lastRenderedPageBreak/>
        <w:t>Chapter Five- Others</w:t>
      </w:r>
      <w:bookmarkEnd w:id="46"/>
      <w:bookmarkEnd w:id="47"/>
    </w:p>
    <w:p w14:paraId="60FB1F75" w14:textId="63CBB063" w:rsidR="00995826" w:rsidRPr="004853E7" w:rsidRDefault="00C723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bookmarkStart w:id="48" w:name="_Toc142480936"/>
      <w:bookmarkStart w:id="49" w:name="_Toc142484965"/>
      <w:r w:rsidRPr="004853E7">
        <w:rPr>
          <w:rFonts w:ascii="Tahoma" w:eastAsia="標楷體" w:hAnsi="Tahoma" w:cs="Tahoma"/>
          <w:sz w:val="20"/>
          <w:szCs w:val="20"/>
        </w:rPr>
        <w:t>First-line monit</w:t>
      </w:r>
      <w:r w:rsidR="00630170" w:rsidRPr="004853E7">
        <w:rPr>
          <w:rFonts w:ascii="Tahoma" w:eastAsia="標楷體" w:hAnsi="Tahoma" w:cs="Tahoma"/>
          <w:sz w:val="20"/>
          <w:szCs w:val="20"/>
        </w:rPr>
        <w:t>or</w:t>
      </w:r>
      <w:r w:rsidRPr="004853E7">
        <w:rPr>
          <w:rFonts w:ascii="Tahoma" w:eastAsia="標楷體" w:hAnsi="Tahoma" w:cs="Tahoma"/>
          <w:sz w:val="20"/>
          <w:szCs w:val="20"/>
        </w:rPr>
        <w:t>ing</w:t>
      </w:r>
      <w:bookmarkEnd w:id="48"/>
      <w:bookmarkEnd w:id="49"/>
    </w:p>
    <w:p w14:paraId="1CF2A798" w14:textId="77777777" w:rsidR="00FE733D" w:rsidRPr="004853E7" w:rsidRDefault="00A11A52"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T</w:t>
      </w:r>
      <w:r w:rsidR="008535D7" w:rsidRPr="004853E7">
        <w:rPr>
          <w:rFonts w:ascii="Tahoma" w:eastAsia="標楷體" w:hAnsi="Tahoma" w:cs="Tahoma"/>
          <w:sz w:val="20"/>
          <w:szCs w:val="20"/>
        </w:rPr>
        <w:t>he personnel</w:t>
      </w:r>
      <w:r w:rsidR="00BF5C33" w:rsidRPr="004853E7">
        <w:rPr>
          <w:rFonts w:ascii="Tahoma" w:eastAsia="標楷體" w:hAnsi="Tahoma" w:cs="Tahoma"/>
          <w:sz w:val="20"/>
          <w:szCs w:val="20"/>
        </w:rPr>
        <w:t xml:space="preserve"> in charge of the business or his/her replacer is responsible for the first-line monitoring, while the department </w:t>
      </w:r>
      <w:r w:rsidR="008535D7" w:rsidRPr="004853E7">
        <w:rPr>
          <w:rFonts w:ascii="Tahoma" w:eastAsia="標楷體" w:hAnsi="Tahoma" w:cs="Tahoma"/>
          <w:sz w:val="20"/>
          <w:szCs w:val="20"/>
        </w:rPr>
        <w:t>manager or managing director conducts</w:t>
      </w:r>
      <w:r w:rsidR="00BF5C33" w:rsidRPr="004853E7">
        <w:rPr>
          <w:rFonts w:ascii="Tahoma" w:eastAsia="標楷體" w:hAnsi="Tahoma" w:cs="Tahoma"/>
          <w:sz w:val="20"/>
          <w:szCs w:val="20"/>
        </w:rPr>
        <w:t xml:space="preserve"> the second-line monitoring.</w:t>
      </w:r>
    </w:p>
    <w:p w14:paraId="24142EC3" w14:textId="77777777" w:rsidR="00621829" w:rsidRPr="004853E7" w:rsidRDefault="00621829" w:rsidP="00677C16">
      <w:pPr>
        <w:pStyle w:val="ListParagraph"/>
        <w:snapToGrid w:val="0"/>
        <w:spacing w:line="240" w:lineRule="exact"/>
        <w:ind w:leftChars="0" w:left="482"/>
        <w:jc w:val="both"/>
        <w:rPr>
          <w:rFonts w:ascii="Tahoma" w:eastAsia="標楷體" w:hAnsi="Tahoma" w:cs="Tahoma"/>
          <w:sz w:val="20"/>
          <w:szCs w:val="20"/>
        </w:rPr>
      </w:pPr>
    </w:p>
    <w:p w14:paraId="3552BFB0" w14:textId="6EDD4564" w:rsidR="00995826" w:rsidRPr="004853E7" w:rsidRDefault="00995826"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First-line monitoring personnel must determine the atypical transactions which re</w:t>
      </w:r>
      <w:r w:rsidR="008535D7" w:rsidRPr="004853E7">
        <w:rPr>
          <w:rFonts w:ascii="Tahoma" w:eastAsia="標楷體" w:hAnsi="Tahoma" w:cs="Tahoma"/>
          <w:sz w:val="20"/>
          <w:szCs w:val="20"/>
        </w:rPr>
        <w:t>quire their special attention</w:t>
      </w:r>
      <w:r w:rsidRPr="004853E7">
        <w:rPr>
          <w:rFonts w:ascii="Tahoma" w:eastAsia="標楷體" w:hAnsi="Tahoma" w:cs="Tahoma"/>
          <w:sz w:val="20"/>
          <w:szCs w:val="20"/>
        </w:rPr>
        <w:t xml:space="preserve"> according to those criteria applied in the context of the customer acceptance policy (Chapter two of Guideline</w:t>
      </w:r>
      <w:r w:rsidR="008535D7" w:rsidRPr="004853E7">
        <w:rPr>
          <w:rFonts w:ascii="Tahoma" w:eastAsia="標楷體" w:hAnsi="Tahoma" w:cs="Tahoma"/>
          <w:sz w:val="20"/>
          <w:szCs w:val="20"/>
        </w:rPr>
        <w:t>s). If that</w:t>
      </w:r>
      <w:r w:rsidRPr="004853E7">
        <w:rPr>
          <w:rFonts w:ascii="Tahoma" w:eastAsia="標楷體" w:hAnsi="Tahoma" w:cs="Tahoma"/>
          <w:sz w:val="20"/>
          <w:szCs w:val="20"/>
        </w:rPr>
        <w:t xml:space="preserve"> is the case, first-line monitoring personnel has to transmit his</w:t>
      </w:r>
      <w:r w:rsidR="006229C6">
        <w:rPr>
          <w:rFonts w:ascii="Tahoma" w:eastAsia="標楷體" w:hAnsi="Tahoma" w:cs="Tahoma"/>
          <w:sz w:val="20"/>
          <w:szCs w:val="20"/>
        </w:rPr>
        <w:t>/her</w:t>
      </w:r>
      <w:r w:rsidRPr="004853E7">
        <w:rPr>
          <w:rFonts w:ascii="Tahoma" w:eastAsia="標楷體" w:hAnsi="Tahoma" w:cs="Tahoma"/>
          <w:sz w:val="20"/>
          <w:szCs w:val="20"/>
        </w:rPr>
        <w:t xml:space="preserve"> written repor</w:t>
      </w:r>
      <w:r w:rsidR="008535D7" w:rsidRPr="004853E7">
        <w:rPr>
          <w:rFonts w:ascii="Tahoma" w:eastAsia="標楷體" w:hAnsi="Tahoma" w:cs="Tahoma"/>
          <w:sz w:val="20"/>
          <w:szCs w:val="20"/>
        </w:rPr>
        <w:t xml:space="preserve">ts on atypical transactions to </w:t>
      </w:r>
      <w:r w:rsidR="004042BD" w:rsidRPr="004853E7">
        <w:rPr>
          <w:rFonts w:ascii="Tahoma" w:eastAsia="標楷體" w:hAnsi="Tahoma" w:cs="Tahoma"/>
          <w:sz w:val="20"/>
          <w:szCs w:val="20"/>
        </w:rPr>
        <w:t xml:space="preserve">the </w:t>
      </w:r>
      <w:r w:rsidR="008535D7" w:rsidRPr="004853E7">
        <w:rPr>
          <w:rFonts w:ascii="Tahoma" w:eastAsia="標楷體" w:hAnsi="Tahoma" w:cs="Tahoma"/>
          <w:sz w:val="20"/>
          <w:szCs w:val="20"/>
        </w:rPr>
        <w:t>a</w:t>
      </w:r>
      <w:r w:rsidR="009407DE" w:rsidRPr="004853E7">
        <w:rPr>
          <w:rFonts w:ascii="Tahoma" w:eastAsia="標楷體" w:hAnsi="Tahoma" w:cs="Tahoma"/>
          <w:sz w:val="20"/>
          <w:szCs w:val="20"/>
        </w:rPr>
        <w:t>nti-money laundering</w:t>
      </w:r>
      <w:r w:rsidRPr="004853E7">
        <w:rPr>
          <w:rFonts w:ascii="Tahoma" w:eastAsia="標楷體" w:hAnsi="Tahoma" w:cs="Tahoma"/>
          <w:sz w:val="20"/>
          <w:szCs w:val="20"/>
        </w:rPr>
        <w:t xml:space="preserve"> officer of the bank.</w:t>
      </w:r>
    </w:p>
    <w:p w14:paraId="42909C67" w14:textId="77777777" w:rsidR="00621829" w:rsidRPr="004853E7" w:rsidRDefault="00621829" w:rsidP="00677C16">
      <w:pPr>
        <w:pStyle w:val="ListParagraph"/>
        <w:snapToGrid w:val="0"/>
        <w:spacing w:line="240" w:lineRule="exact"/>
        <w:ind w:leftChars="0" w:left="482"/>
        <w:jc w:val="both"/>
        <w:rPr>
          <w:rFonts w:ascii="Tahoma" w:eastAsia="標楷體" w:hAnsi="Tahoma" w:cs="Tahoma"/>
          <w:sz w:val="20"/>
          <w:szCs w:val="20"/>
        </w:rPr>
      </w:pPr>
    </w:p>
    <w:p w14:paraId="40CCF09D" w14:textId="77777777" w:rsidR="00995826" w:rsidRPr="004853E7" w:rsidRDefault="00995826"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T</w:t>
      </w:r>
      <w:r w:rsidR="008535D7" w:rsidRPr="004853E7">
        <w:rPr>
          <w:rFonts w:ascii="Tahoma" w:eastAsia="標楷體" w:hAnsi="Tahoma" w:cs="Tahoma"/>
          <w:sz w:val="20"/>
          <w:szCs w:val="20"/>
        </w:rPr>
        <w:t>he bank conducts its s</w:t>
      </w:r>
      <w:r w:rsidRPr="004853E7">
        <w:rPr>
          <w:rFonts w:ascii="Tahoma" w:eastAsia="標楷體" w:hAnsi="Tahoma" w:cs="Tahoma"/>
          <w:sz w:val="20"/>
          <w:szCs w:val="20"/>
        </w:rPr>
        <w:t>econd-line monitoring as follows:</w:t>
      </w:r>
    </w:p>
    <w:p w14:paraId="11377EAB" w14:textId="77777777" w:rsidR="00995826" w:rsidRPr="004853E7" w:rsidRDefault="00995826"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It must cover all accounts and transactions of the customers.</w:t>
      </w:r>
    </w:p>
    <w:p w14:paraId="1903327A" w14:textId="71C0AACF" w:rsidR="00995826" w:rsidRPr="004853E7" w:rsidRDefault="00995826"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It is based on precise and relevant criteria, determined by the bank, among other things, the characteristics of the services and products it offers and those of the customers to whom it applies, and sufficiently discriminating in order to be able to effectively detect atypical transactions.</w:t>
      </w:r>
      <w:r w:rsidR="00F76FEE" w:rsidRPr="004853E7">
        <w:rPr>
          <w:rFonts w:ascii="Tahoma" w:eastAsia="標楷體" w:hAnsi="Tahoma" w:cs="Tahoma"/>
          <w:sz w:val="20"/>
          <w:szCs w:val="20"/>
        </w:rPr>
        <w:t xml:space="preserve"> Transactions which are complex or unusually large or show an unusual pattern or do not have a clear economic or legitimate purpose and have to be examined have to be given special attention.</w:t>
      </w:r>
    </w:p>
    <w:p w14:paraId="2AB42952" w14:textId="77777777" w:rsidR="00995826" w:rsidRPr="004853E7" w:rsidRDefault="00995826"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When</w:t>
      </w:r>
      <w:r w:rsidR="0001280B" w:rsidRPr="004853E7">
        <w:rPr>
          <w:rFonts w:ascii="Tahoma" w:eastAsia="標楷體" w:hAnsi="Tahoma" w:cs="Tahoma"/>
          <w:sz w:val="20"/>
          <w:szCs w:val="20"/>
        </w:rPr>
        <w:t xml:space="preserve"> detecting atypical transaction, a</w:t>
      </w:r>
      <w:r w:rsidRPr="004853E7">
        <w:rPr>
          <w:rFonts w:ascii="Tahoma" w:eastAsia="標楷體" w:hAnsi="Tahoma" w:cs="Tahoma"/>
          <w:sz w:val="20"/>
          <w:szCs w:val="20"/>
        </w:rPr>
        <w:t xml:space="preserve"> written re</w:t>
      </w:r>
      <w:r w:rsidR="0001280B" w:rsidRPr="004853E7">
        <w:rPr>
          <w:rFonts w:ascii="Tahoma" w:eastAsia="標楷體" w:hAnsi="Tahoma" w:cs="Tahoma"/>
          <w:sz w:val="20"/>
          <w:szCs w:val="20"/>
        </w:rPr>
        <w:t xml:space="preserve">port has to be done and transmitted to </w:t>
      </w:r>
      <w:r w:rsidR="004042BD" w:rsidRPr="004853E7">
        <w:rPr>
          <w:rFonts w:ascii="Tahoma" w:eastAsia="標楷體" w:hAnsi="Tahoma" w:cs="Tahoma"/>
          <w:sz w:val="20"/>
          <w:szCs w:val="20"/>
        </w:rPr>
        <w:t xml:space="preserve">the </w:t>
      </w:r>
      <w:r w:rsidR="0001280B" w:rsidRPr="004853E7">
        <w:rPr>
          <w:rFonts w:ascii="Tahoma" w:eastAsia="標楷體" w:hAnsi="Tahoma" w:cs="Tahoma"/>
          <w:sz w:val="20"/>
          <w:szCs w:val="20"/>
        </w:rPr>
        <w:t>a</w:t>
      </w:r>
      <w:r w:rsidRPr="004853E7">
        <w:rPr>
          <w:rFonts w:ascii="Tahoma" w:eastAsia="標楷體" w:hAnsi="Tahoma" w:cs="Tahoma"/>
          <w:sz w:val="20"/>
          <w:szCs w:val="20"/>
        </w:rPr>
        <w:t>nti-money laundering officer</w:t>
      </w:r>
      <w:r w:rsidR="0001280B" w:rsidRPr="004853E7">
        <w:rPr>
          <w:rFonts w:ascii="Tahoma" w:eastAsia="標楷體" w:hAnsi="Tahoma" w:cs="Tahoma"/>
          <w:sz w:val="20"/>
          <w:szCs w:val="20"/>
        </w:rPr>
        <w:t>, describing</w:t>
      </w:r>
      <w:r w:rsidRPr="004853E7">
        <w:rPr>
          <w:rFonts w:ascii="Tahoma" w:eastAsia="標楷體" w:hAnsi="Tahoma" w:cs="Tahoma"/>
          <w:sz w:val="20"/>
          <w:szCs w:val="20"/>
        </w:rPr>
        <w:t xml:space="preserve"> the atypical transactions detected and the</w:t>
      </w:r>
      <w:r w:rsidR="0001280B" w:rsidRPr="004853E7">
        <w:rPr>
          <w:rFonts w:ascii="Tahoma" w:eastAsia="標楷體" w:hAnsi="Tahoma" w:cs="Tahoma"/>
          <w:sz w:val="20"/>
          <w:szCs w:val="20"/>
        </w:rPr>
        <w:t xml:space="preserve"> criteria referred to</w:t>
      </w:r>
      <w:r w:rsidRPr="004853E7">
        <w:rPr>
          <w:rFonts w:ascii="Tahoma" w:eastAsia="標楷體" w:hAnsi="Tahoma" w:cs="Tahoma"/>
          <w:sz w:val="20"/>
          <w:szCs w:val="20"/>
        </w:rPr>
        <w:t>, on the basis of which they are regarded as atypical transactions.</w:t>
      </w:r>
    </w:p>
    <w:p w14:paraId="5CA1EEB4" w14:textId="77777777" w:rsidR="00995826" w:rsidRPr="004853E7" w:rsidRDefault="00995826"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 xml:space="preserve">Due to its simple business model and low volume of transactions to be monitored, the bank conducts second-line monitoring </w:t>
      </w:r>
      <w:r w:rsidR="00286DDE" w:rsidRPr="004853E7">
        <w:rPr>
          <w:rFonts w:ascii="Tahoma" w:eastAsia="標楷體" w:hAnsi="Tahoma" w:cs="Tahoma"/>
          <w:sz w:val="20"/>
          <w:szCs w:val="20"/>
        </w:rPr>
        <w:t>m</w:t>
      </w:r>
      <w:r w:rsidRPr="004853E7">
        <w:rPr>
          <w:rFonts w:ascii="Tahoma" w:eastAsia="標楷體" w:hAnsi="Tahoma" w:cs="Tahoma"/>
          <w:sz w:val="20"/>
          <w:szCs w:val="20"/>
        </w:rPr>
        <w:t>anual</w:t>
      </w:r>
      <w:r w:rsidR="00286DDE" w:rsidRPr="004853E7">
        <w:rPr>
          <w:rFonts w:ascii="Tahoma" w:eastAsia="標楷體" w:hAnsi="Tahoma" w:cs="Tahoma"/>
          <w:sz w:val="20"/>
          <w:szCs w:val="20"/>
        </w:rPr>
        <w:t>ly</w:t>
      </w:r>
      <w:r w:rsidRPr="004853E7">
        <w:rPr>
          <w:rFonts w:ascii="Tahoma" w:eastAsia="標楷體" w:hAnsi="Tahoma" w:cs="Tahoma"/>
          <w:sz w:val="20"/>
          <w:szCs w:val="20"/>
        </w:rPr>
        <w:t>.</w:t>
      </w:r>
    </w:p>
    <w:p w14:paraId="4B4F46E8" w14:textId="77777777" w:rsidR="00995826" w:rsidRPr="004853E7" w:rsidRDefault="00995826"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T</w:t>
      </w:r>
      <w:r w:rsidR="00286DDE" w:rsidRPr="004853E7">
        <w:rPr>
          <w:rFonts w:ascii="Tahoma" w:eastAsia="標楷體" w:hAnsi="Tahoma" w:cs="Tahoma"/>
          <w:sz w:val="20"/>
          <w:szCs w:val="20"/>
        </w:rPr>
        <w:t>he bank updates</w:t>
      </w:r>
      <w:r w:rsidRPr="004853E7">
        <w:rPr>
          <w:rFonts w:ascii="Tahoma" w:eastAsia="標楷體" w:hAnsi="Tahoma" w:cs="Tahoma"/>
          <w:sz w:val="20"/>
          <w:szCs w:val="20"/>
        </w:rPr>
        <w:t xml:space="preserve"> its monitoring criteria at least once a year.</w:t>
      </w:r>
    </w:p>
    <w:p w14:paraId="3B60121D" w14:textId="77777777" w:rsidR="00621829" w:rsidRPr="004853E7" w:rsidRDefault="00621829" w:rsidP="00677C16">
      <w:pPr>
        <w:pStyle w:val="ListParagraph"/>
        <w:snapToGrid w:val="0"/>
        <w:spacing w:line="240" w:lineRule="exact"/>
        <w:ind w:leftChars="0" w:left="964"/>
        <w:jc w:val="both"/>
        <w:rPr>
          <w:rFonts w:ascii="Tahoma" w:eastAsia="標楷體" w:hAnsi="Tahoma" w:cs="Tahoma"/>
          <w:sz w:val="20"/>
          <w:szCs w:val="20"/>
        </w:rPr>
      </w:pPr>
    </w:p>
    <w:p w14:paraId="6FA3C896" w14:textId="77777777" w:rsidR="005856FD" w:rsidRPr="004853E7" w:rsidRDefault="005856FD"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The processing for atypical transactions.</w:t>
      </w:r>
    </w:p>
    <w:p w14:paraId="79530B77" w14:textId="77777777" w:rsidR="005856FD" w:rsidRPr="004853E7" w:rsidRDefault="005856FD"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When an atypical transaction is detected by the first-line or second line monitoring system,</w:t>
      </w:r>
      <w:r w:rsidR="004042BD" w:rsidRPr="004853E7">
        <w:rPr>
          <w:rFonts w:ascii="Tahoma" w:eastAsia="標楷體" w:hAnsi="Tahoma" w:cs="Tahoma"/>
          <w:sz w:val="20"/>
          <w:szCs w:val="20"/>
        </w:rPr>
        <w:t xml:space="preserve"> the</w:t>
      </w:r>
      <w:r w:rsidR="00FD1BE8" w:rsidRPr="004853E7">
        <w:rPr>
          <w:rFonts w:ascii="Tahoma" w:eastAsia="標楷體" w:hAnsi="Tahoma" w:cs="Tahoma"/>
          <w:sz w:val="20"/>
          <w:szCs w:val="20"/>
        </w:rPr>
        <w:t xml:space="preserve"> </w:t>
      </w:r>
      <w:r w:rsidR="00183E79" w:rsidRPr="004853E7">
        <w:rPr>
          <w:rFonts w:ascii="Tahoma" w:eastAsia="標楷體" w:hAnsi="Tahoma" w:cs="Tahoma"/>
          <w:sz w:val="20"/>
          <w:szCs w:val="20"/>
        </w:rPr>
        <w:t>AMLCO</w:t>
      </w:r>
      <w:r w:rsidRPr="004853E7">
        <w:rPr>
          <w:rFonts w:ascii="Tahoma" w:eastAsia="標楷體" w:hAnsi="Tahoma" w:cs="Tahoma"/>
          <w:sz w:val="20"/>
          <w:szCs w:val="20"/>
        </w:rPr>
        <w:t xml:space="preserve"> of the bank should be informed.</w:t>
      </w:r>
    </w:p>
    <w:p w14:paraId="01EBC082" w14:textId="77777777" w:rsidR="00D810F4" w:rsidRPr="004853E7" w:rsidRDefault="00D810F4"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A</w:t>
      </w:r>
      <w:r w:rsidRPr="004853E7">
        <w:rPr>
          <w:rFonts w:ascii="Tahoma" w:eastAsia="標楷體" w:hAnsi="Tahoma" w:cs="Tahoma"/>
          <w:sz w:val="20"/>
          <w:szCs w:val="20"/>
          <w:lang w:eastAsia="zh-HK"/>
        </w:rPr>
        <w:t xml:space="preserve">fter receiving the atypical transaction, the </w:t>
      </w:r>
      <w:r w:rsidR="00183E79" w:rsidRPr="004853E7">
        <w:rPr>
          <w:rFonts w:ascii="Tahoma" w:eastAsia="標楷體" w:hAnsi="Tahoma" w:cs="Tahoma"/>
          <w:sz w:val="20"/>
          <w:szCs w:val="20"/>
          <w:lang w:eastAsia="zh-HK"/>
        </w:rPr>
        <w:t>AMLCO</w:t>
      </w:r>
      <w:r w:rsidRPr="004853E7">
        <w:rPr>
          <w:rFonts w:ascii="Tahoma" w:eastAsia="標楷體" w:hAnsi="Tahoma" w:cs="Tahoma"/>
          <w:sz w:val="20"/>
          <w:szCs w:val="20"/>
          <w:lang w:eastAsia="zh-HK"/>
        </w:rPr>
        <w:t xml:space="preserve"> shall </w:t>
      </w:r>
      <w:r w:rsidRPr="004853E7">
        <w:rPr>
          <w:rFonts w:ascii="Tahoma" w:eastAsia="標楷體" w:hAnsi="Tahoma" w:cs="Tahoma"/>
          <w:sz w:val="20"/>
          <w:szCs w:val="20"/>
        </w:rPr>
        <w:t>carefully examine the transactions carried out over the course of the business relationship as well as, where necessary, the origin of the funds, in order to verify whether these transactions are consistent with the customer’s characteristics, with the nature and purpose of the business relationship, and with the customer’s risk profile, in order to detect atypical transactions that should be subjected to an in-depth analysis. A written report on the analysis performed shall be drawn up.</w:t>
      </w:r>
    </w:p>
    <w:p w14:paraId="4C44DA79" w14:textId="77777777" w:rsidR="005856FD" w:rsidRPr="004853E7" w:rsidRDefault="005856FD" w:rsidP="00677C16">
      <w:pPr>
        <w:pStyle w:val="ListParagraph"/>
        <w:snapToGrid w:val="0"/>
        <w:spacing w:line="240" w:lineRule="exact"/>
        <w:ind w:leftChars="0" w:left="964"/>
        <w:jc w:val="both"/>
        <w:rPr>
          <w:rFonts w:ascii="Tahoma" w:eastAsia="標楷體" w:hAnsi="Tahoma" w:cs="Tahoma"/>
          <w:sz w:val="20"/>
          <w:szCs w:val="20"/>
        </w:rPr>
      </w:pPr>
      <w:r w:rsidRPr="004853E7">
        <w:rPr>
          <w:rFonts w:ascii="Tahoma" w:eastAsia="標楷體" w:hAnsi="Tahoma" w:cs="Tahoma"/>
          <w:sz w:val="20"/>
          <w:szCs w:val="20"/>
        </w:rPr>
        <w:t>This obligation of information exists as soon as one thinks an operation or a fact is linked to money laundering or financing of terrorism. Anyhow, save exceptions, CTIF-CFI must be informed before execution of the operation.</w:t>
      </w:r>
    </w:p>
    <w:p w14:paraId="087E23FD" w14:textId="77777777" w:rsidR="00621829" w:rsidRPr="004853E7" w:rsidRDefault="00D40FD6"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r w:rsidRPr="004853E7">
        <w:rPr>
          <w:rFonts w:ascii="Tahoma" w:eastAsia="標楷體" w:hAnsi="Tahoma" w:cs="Tahoma" w:hint="eastAsia"/>
          <w:sz w:val="20"/>
          <w:szCs w:val="20"/>
        </w:rPr>
        <w:t xml:space="preserve">  </w:t>
      </w:r>
      <w:bookmarkStart w:id="50" w:name="_Toc142480937"/>
      <w:bookmarkStart w:id="51" w:name="_Toc142484966"/>
      <w:r w:rsidR="00A27EAD" w:rsidRPr="004853E7">
        <w:rPr>
          <w:rFonts w:ascii="Tahoma" w:eastAsia="標楷體" w:hAnsi="Tahoma" w:cs="Tahoma"/>
          <w:sz w:val="20"/>
          <w:szCs w:val="20"/>
        </w:rPr>
        <w:t xml:space="preserve">Reporting of a </w:t>
      </w:r>
      <w:r w:rsidR="008B0D5C" w:rsidRPr="004853E7">
        <w:rPr>
          <w:rFonts w:ascii="Tahoma" w:eastAsia="標楷體" w:hAnsi="Tahoma" w:cs="Tahoma"/>
          <w:sz w:val="20"/>
          <w:szCs w:val="20"/>
        </w:rPr>
        <w:t xml:space="preserve">suspicious </w:t>
      </w:r>
      <w:r w:rsidR="00A27EAD" w:rsidRPr="004853E7">
        <w:rPr>
          <w:rFonts w:ascii="Tahoma" w:eastAsia="標楷體" w:hAnsi="Tahoma" w:cs="Tahoma"/>
          <w:sz w:val="20"/>
          <w:szCs w:val="20"/>
        </w:rPr>
        <w:t>ML/TF transaction</w:t>
      </w:r>
      <w:bookmarkEnd w:id="50"/>
      <w:bookmarkEnd w:id="51"/>
    </w:p>
    <w:p w14:paraId="6A3744B9" w14:textId="77777777" w:rsidR="00621829" w:rsidRPr="004853E7" w:rsidRDefault="00621829" w:rsidP="00677C16">
      <w:pPr>
        <w:pStyle w:val="ListParagraph"/>
        <w:snapToGrid w:val="0"/>
        <w:spacing w:line="240" w:lineRule="exact"/>
        <w:ind w:leftChars="0" w:left="482"/>
        <w:jc w:val="both"/>
        <w:rPr>
          <w:rFonts w:ascii="Tahoma" w:eastAsia="標楷體" w:hAnsi="Tahoma" w:cs="Tahoma"/>
          <w:sz w:val="20"/>
          <w:szCs w:val="20"/>
        </w:rPr>
      </w:pPr>
    </w:p>
    <w:p w14:paraId="655466AA" w14:textId="6FE547D8" w:rsidR="005856FD" w:rsidRPr="004853E7" w:rsidRDefault="00A27EAD"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The AML Compliance Officer of the Bank shall report to CTIF-CF</w:t>
      </w:r>
      <w:r w:rsidRPr="00353C9D">
        <w:rPr>
          <w:rFonts w:ascii="Tahoma" w:eastAsia="標楷體" w:hAnsi="Tahoma" w:cs="Tahoma"/>
          <w:sz w:val="20"/>
          <w:szCs w:val="20"/>
        </w:rPr>
        <w:t>I</w:t>
      </w:r>
      <w:r w:rsidR="00AB0AE4" w:rsidRPr="00353C9D">
        <w:rPr>
          <w:rFonts w:ascii="Tahoma" w:eastAsia="標楷體" w:hAnsi="Tahoma" w:cs="Tahoma" w:hint="eastAsia"/>
          <w:sz w:val="20"/>
          <w:szCs w:val="20"/>
          <w:lang w:val="en-GB"/>
        </w:rPr>
        <w:t xml:space="preserve"> via the platform goAML</w:t>
      </w:r>
      <w:r w:rsidRPr="00353C9D">
        <w:rPr>
          <w:rFonts w:ascii="Tahoma" w:eastAsia="標楷體" w:hAnsi="Tahoma" w:cs="Tahoma"/>
          <w:sz w:val="20"/>
          <w:szCs w:val="20"/>
        </w:rPr>
        <w:t>,</w:t>
      </w:r>
      <w:r w:rsidRPr="004853E7">
        <w:rPr>
          <w:rFonts w:ascii="Tahoma" w:eastAsia="標楷體" w:hAnsi="Tahoma" w:cs="Tahoma"/>
          <w:sz w:val="20"/>
          <w:szCs w:val="20"/>
        </w:rPr>
        <w:t xml:space="preserve"> when </w:t>
      </w:r>
      <w:r w:rsidR="004042BD" w:rsidRPr="004853E7">
        <w:rPr>
          <w:rFonts w:ascii="Tahoma" w:eastAsia="標楷體" w:hAnsi="Tahoma" w:cs="Tahoma"/>
          <w:sz w:val="20"/>
          <w:szCs w:val="20"/>
        </w:rPr>
        <w:t xml:space="preserve">he </w:t>
      </w:r>
      <w:r w:rsidRPr="004853E7">
        <w:rPr>
          <w:rFonts w:ascii="Tahoma" w:eastAsia="標楷體" w:hAnsi="Tahoma" w:cs="Tahoma"/>
          <w:sz w:val="20"/>
          <w:szCs w:val="20"/>
        </w:rPr>
        <w:t>know</w:t>
      </w:r>
      <w:r w:rsidR="004042BD" w:rsidRPr="004853E7">
        <w:rPr>
          <w:rFonts w:ascii="Tahoma" w:eastAsia="標楷體" w:hAnsi="Tahoma" w:cs="Tahoma"/>
          <w:sz w:val="20"/>
          <w:szCs w:val="20"/>
        </w:rPr>
        <w:t>s</w:t>
      </w:r>
      <w:r w:rsidRPr="004853E7">
        <w:rPr>
          <w:rFonts w:ascii="Tahoma" w:eastAsia="標楷體" w:hAnsi="Tahoma" w:cs="Tahoma"/>
          <w:sz w:val="20"/>
          <w:szCs w:val="20"/>
        </w:rPr>
        <w:t>, suspect</w:t>
      </w:r>
      <w:r w:rsidR="004042BD" w:rsidRPr="004853E7">
        <w:rPr>
          <w:rFonts w:ascii="Tahoma" w:eastAsia="標楷體" w:hAnsi="Tahoma" w:cs="Tahoma"/>
          <w:sz w:val="20"/>
          <w:szCs w:val="20"/>
        </w:rPr>
        <w:t>s</w:t>
      </w:r>
      <w:r w:rsidRPr="004853E7">
        <w:rPr>
          <w:rFonts w:ascii="Tahoma" w:eastAsia="標楷體" w:hAnsi="Tahoma" w:cs="Tahoma"/>
          <w:sz w:val="20"/>
          <w:szCs w:val="20"/>
        </w:rPr>
        <w:t xml:space="preserve"> or </w:t>
      </w:r>
      <w:r w:rsidR="004042BD" w:rsidRPr="004853E7">
        <w:rPr>
          <w:rFonts w:ascii="Tahoma" w:eastAsia="標楷體" w:hAnsi="Tahoma" w:cs="Tahoma"/>
          <w:sz w:val="20"/>
          <w:szCs w:val="20"/>
        </w:rPr>
        <w:t xml:space="preserve">has </w:t>
      </w:r>
      <w:r w:rsidRPr="004853E7">
        <w:rPr>
          <w:rFonts w:ascii="Tahoma" w:eastAsia="標楷體" w:hAnsi="Tahoma" w:cs="Tahoma"/>
          <w:sz w:val="20"/>
          <w:szCs w:val="20"/>
        </w:rPr>
        <w:t>reasonable grounds to suspect:</w:t>
      </w:r>
    </w:p>
    <w:p w14:paraId="71F37274" w14:textId="7A3AD7B3" w:rsidR="00A27EAD" w:rsidRPr="004853E7" w:rsidRDefault="00C827A0" w:rsidP="00677C16">
      <w:pPr>
        <w:pStyle w:val="ListParagraph"/>
        <w:numPr>
          <w:ilvl w:val="2"/>
          <w:numId w:val="5"/>
        </w:numPr>
        <w:snapToGrid w:val="0"/>
        <w:spacing w:line="240" w:lineRule="exact"/>
        <w:ind w:leftChars="0"/>
        <w:jc w:val="both"/>
        <w:rPr>
          <w:rFonts w:ascii="Tahoma" w:eastAsia="標楷體" w:hAnsi="Tahoma" w:cs="Tahoma"/>
          <w:sz w:val="20"/>
          <w:szCs w:val="20"/>
        </w:rPr>
      </w:pPr>
      <w:r>
        <w:rPr>
          <w:rFonts w:ascii="Tahoma" w:eastAsia="標楷體" w:hAnsi="Tahoma" w:cs="Tahoma"/>
          <w:kern w:val="0"/>
          <w:sz w:val="20"/>
          <w:szCs w:val="20"/>
        </w:rPr>
        <w:t>T</w:t>
      </w:r>
      <w:r w:rsidR="00A27EAD" w:rsidRPr="004853E7">
        <w:rPr>
          <w:rFonts w:ascii="Tahoma" w:eastAsia="標楷體" w:hAnsi="Tahoma" w:cs="Tahoma"/>
          <w:kern w:val="0"/>
          <w:sz w:val="20"/>
          <w:szCs w:val="20"/>
        </w:rPr>
        <w:t>hat funds, regardless of the amount, are related to money laundering or terrorist financing;</w:t>
      </w:r>
    </w:p>
    <w:p w14:paraId="237ABF28" w14:textId="3E71E3F7" w:rsidR="00A27EAD" w:rsidRPr="004853E7" w:rsidRDefault="00C827A0" w:rsidP="00677C16">
      <w:pPr>
        <w:pStyle w:val="ListParagraph"/>
        <w:numPr>
          <w:ilvl w:val="2"/>
          <w:numId w:val="5"/>
        </w:numPr>
        <w:snapToGrid w:val="0"/>
        <w:spacing w:line="240" w:lineRule="exact"/>
        <w:ind w:leftChars="0"/>
        <w:jc w:val="both"/>
        <w:rPr>
          <w:rFonts w:ascii="Tahoma" w:eastAsia="標楷體" w:hAnsi="Tahoma" w:cs="Tahoma"/>
          <w:sz w:val="20"/>
          <w:szCs w:val="20"/>
        </w:rPr>
      </w:pPr>
      <w:r>
        <w:rPr>
          <w:rFonts w:ascii="Tahoma" w:eastAsia="標楷體" w:hAnsi="Tahoma" w:cs="Tahoma"/>
          <w:kern w:val="0"/>
          <w:sz w:val="20"/>
          <w:szCs w:val="20"/>
        </w:rPr>
        <w:t>T</w:t>
      </w:r>
      <w:r w:rsidR="00A27EAD" w:rsidRPr="004853E7">
        <w:rPr>
          <w:rFonts w:ascii="Tahoma" w:eastAsia="標楷體" w:hAnsi="Tahoma" w:cs="Tahoma"/>
          <w:kern w:val="0"/>
          <w:sz w:val="20"/>
          <w:szCs w:val="20"/>
        </w:rPr>
        <w:t xml:space="preserve">hat transactions or attempted transactions are related to money laundering or </w:t>
      </w:r>
      <w:r w:rsidR="00A27EAD" w:rsidRPr="004853E7">
        <w:rPr>
          <w:rFonts w:ascii="Tahoma" w:eastAsia="標楷體" w:hAnsi="Tahoma" w:cs="Tahoma"/>
          <w:sz w:val="20"/>
          <w:szCs w:val="20"/>
        </w:rPr>
        <w:t>terrorist</w:t>
      </w:r>
      <w:r w:rsidR="00A27EAD" w:rsidRPr="004853E7">
        <w:rPr>
          <w:rFonts w:ascii="Tahoma" w:eastAsia="標楷體" w:hAnsi="Tahoma" w:cs="Tahoma"/>
          <w:kern w:val="0"/>
          <w:sz w:val="20"/>
          <w:szCs w:val="20"/>
        </w:rPr>
        <w:t xml:space="preserve"> financing. This obligation also applies when the customer decides not to carry out the intended transaction;</w:t>
      </w:r>
    </w:p>
    <w:p w14:paraId="3704347A" w14:textId="324350F9" w:rsidR="00A27EAD" w:rsidRPr="004853E7" w:rsidRDefault="00C827A0" w:rsidP="00677C16">
      <w:pPr>
        <w:pStyle w:val="ListParagraph"/>
        <w:numPr>
          <w:ilvl w:val="2"/>
          <w:numId w:val="5"/>
        </w:numPr>
        <w:snapToGrid w:val="0"/>
        <w:spacing w:line="240" w:lineRule="exact"/>
        <w:ind w:leftChars="0"/>
        <w:jc w:val="both"/>
        <w:rPr>
          <w:rFonts w:ascii="Tahoma" w:eastAsia="標楷體" w:hAnsi="Tahoma" w:cs="Tahoma"/>
          <w:sz w:val="20"/>
          <w:szCs w:val="20"/>
        </w:rPr>
      </w:pPr>
      <w:r>
        <w:rPr>
          <w:rFonts w:ascii="Tahoma" w:eastAsia="標楷體" w:hAnsi="Tahoma" w:cs="Tahoma"/>
          <w:kern w:val="0"/>
          <w:sz w:val="20"/>
          <w:szCs w:val="20"/>
        </w:rPr>
        <w:t>T</w:t>
      </w:r>
      <w:r w:rsidR="00A27EAD" w:rsidRPr="004853E7">
        <w:rPr>
          <w:rFonts w:ascii="Tahoma" w:eastAsia="標楷體" w:hAnsi="Tahoma" w:cs="Tahoma"/>
          <w:kern w:val="0"/>
          <w:sz w:val="20"/>
          <w:szCs w:val="20"/>
        </w:rPr>
        <w:t>hat a fact of which the Bank know</w:t>
      </w:r>
      <w:r w:rsidR="004042BD" w:rsidRPr="004853E7">
        <w:rPr>
          <w:rFonts w:ascii="Tahoma" w:eastAsia="標楷體" w:hAnsi="Tahoma" w:cs="Tahoma"/>
          <w:kern w:val="0"/>
          <w:sz w:val="20"/>
          <w:szCs w:val="20"/>
        </w:rPr>
        <w:t>s</w:t>
      </w:r>
      <w:r w:rsidR="00A27EAD" w:rsidRPr="004853E7">
        <w:rPr>
          <w:rFonts w:ascii="Tahoma" w:eastAsia="標楷體" w:hAnsi="Tahoma" w:cs="Tahoma"/>
          <w:kern w:val="0"/>
          <w:sz w:val="20"/>
          <w:szCs w:val="20"/>
        </w:rPr>
        <w:t>, is related to money laundering and terrorist financing.</w:t>
      </w:r>
    </w:p>
    <w:p w14:paraId="375E0915" w14:textId="77777777" w:rsidR="00621829" w:rsidRPr="00C827A0" w:rsidRDefault="00621829" w:rsidP="00677C16">
      <w:pPr>
        <w:pStyle w:val="ListParagraph"/>
        <w:snapToGrid w:val="0"/>
        <w:spacing w:line="240" w:lineRule="exact"/>
        <w:ind w:leftChars="0" w:left="964"/>
        <w:jc w:val="both"/>
        <w:rPr>
          <w:rFonts w:ascii="Tahoma" w:eastAsia="標楷體" w:hAnsi="Tahoma" w:cs="Tahoma"/>
          <w:sz w:val="20"/>
          <w:szCs w:val="20"/>
        </w:rPr>
      </w:pPr>
    </w:p>
    <w:p w14:paraId="2D8F3F86" w14:textId="77777777" w:rsidR="005856FD" w:rsidRPr="004853E7" w:rsidRDefault="00A27EAD"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kern w:val="0"/>
          <w:sz w:val="20"/>
          <w:szCs w:val="20"/>
        </w:rPr>
        <w:t xml:space="preserve">The information relating to a transaction, referred to in the first paragraph, shall be reported to CTIF-CFI prior to carrying out the transaction. Where appropriate, the period of time is mentioned during which the transaction </w:t>
      </w:r>
      <w:r w:rsidR="00FB0C9B" w:rsidRPr="004853E7">
        <w:rPr>
          <w:rFonts w:ascii="Tahoma" w:eastAsia="標楷體" w:hAnsi="Tahoma" w:cs="Tahoma"/>
          <w:kern w:val="0"/>
          <w:sz w:val="20"/>
          <w:szCs w:val="20"/>
        </w:rPr>
        <w:t>must</w:t>
      </w:r>
      <w:r w:rsidR="004042BD" w:rsidRPr="004853E7">
        <w:rPr>
          <w:rFonts w:ascii="Tahoma" w:eastAsia="標楷體" w:hAnsi="Tahoma" w:cs="Tahoma"/>
          <w:kern w:val="0"/>
          <w:sz w:val="20"/>
          <w:szCs w:val="20"/>
        </w:rPr>
        <w:t xml:space="preserve"> be</w:t>
      </w:r>
      <w:r w:rsidR="00FD1BE8" w:rsidRPr="004853E7">
        <w:rPr>
          <w:rFonts w:ascii="Tahoma" w:eastAsia="標楷體" w:hAnsi="Tahoma" w:cs="Tahoma"/>
          <w:kern w:val="0"/>
          <w:sz w:val="20"/>
          <w:szCs w:val="20"/>
        </w:rPr>
        <w:t xml:space="preserve"> </w:t>
      </w:r>
      <w:r w:rsidRPr="004853E7">
        <w:rPr>
          <w:rFonts w:ascii="Tahoma" w:eastAsia="標楷體" w:hAnsi="Tahoma" w:cs="Tahoma"/>
          <w:kern w:val="0"/>
          <w:sz w:val="20"/>
          <w:szCs w:val="20"/>
        </w:rPr>
        <w:t>carried out.</w:t>
      </w:r>
    </w:p>
    <w:p w14:paraId="6B84C9CC" w14:textId="77777777" w:rsidR="00A27EAD" w:rsidRPr="004853E7" w:rsidRDefault="00A27EAD" w:rsidP="00677C16">
      <w:pPr>
        <w:pStyle w:val="ListParagraph"/>
        <w:snapToGrid w:val="0"/>
        <w:spacing w:line="240" w:lineRule="exact"/>
        <w:ind w:leftChars="0" w:left="482"/>
        <w:jc w:val="both"/>
        <w:rPr>
          <w:rFonts w:ascii="Tahoma" w:eastAsia="標楷體" w:hAnsi="Tahoma" w:cs="Tahoma"/>
          <w:kern w:val="0"/>
          <w:sz w:val="20"/>
          <w:szCs w:val="20"/>
        </w:rPr>
      </w:pPr>
      <w:r w:rsidRPr="004853E7">
        <w:rPr>
          <w:rFonts w:ascii="Tahoma" w:eastAsia="標楷體" w:hAnsi="Tahoma" w:cs="Tahoma"/>
          <w:kern w:val="0"/>
          <w:sz w:val="20"/>
          <w:szCs w:val="20"/>
        </w:rPr>
        <w:t>In case the Bank is unable to inform CTIF-CFI prior to carrying out the transaction, either because it is not possible to delay carrying out the transaction due to its nature, or because doing so could prevent prosecution</w:t>
      </w:r>
      <w:r w:rsidR="00D80496" w:rsidRPr="004853E7">
        <w:rPr>
          <w:rFonts w:ascii="Tahoma" w:eastAsia="標楷體" w:hAnsi="Tahoma" w:cs="Tahoma"/>
          <w:kern w:val="0"/>
          <w:sz w:val="20"/>
          <w:szCs w:val="20"/>
        </w:rPr>
        <w:t xml:space="preserve"> </w:t>
      </w:r>
      <w:r w:rsidRPr="004853E7">
        <w:rPr>
          <w:rFonts w:ascii="Tahoma" w:eastAsia="標楷體" w:hAnsi="Tahoma" w:cs="Tahoma"/>
          <w:kern w:val="0"/>
          <w:sz w:val="20"/>
          <w:szCs w:val="20"/>
        </w:rPr>
        <w:t xml:space="preserve">of the individuals benefiting from this transaction, the Bank shall report this </w:t>
      </w:r>
      <w:r w:rsidRPr="004853E7">
        <w:rPr>
          <w:rFonts w:ascii="Tahoma" w:eastAsia="標楷體" w:hAnsi="Tahoma" w:cs="Tahoma"/>
          <w:kern w:val="0"/>
          <w:sz w:val="20"/>
          <w:szCs w:val="20"/>
        </w:rPr>
        <w:lastRenderedPageBreak/>
        <w:t>transaction to CTIF-CFI immediately after carrying out the transaction. In such a case, the reason why it was not possible to inform CTIF-CFI beforehand should be indicated.</w:t>
      </w:r>
    </w:p>
    <w:p w14:paraId="603E9A4F" w14:textId="77777777" w:rsidR="00621829" w:rsidRPr="004853E7" w:rsidRDefault="00621829" w:rsidP="00677C16">
      <w:pPr>
        <w:snapToGrid w:val="0"/>
        <w:spacing w:line="240" w:lineRule="exact"/>
        <w:jc w:val="both"/>
        <w:rPr>
          <w:rFonts w:ascii="Tahoma" w:eastAsia="標楷體" w:hAnsi="Tahoma" w:cs="Tahoma"/>
          <w:sz w:val="20"/>
          <w:szCs w:val="20"/>
        </w:rPr>
      </w:pPr>
    </w:p>
    <w:p w14:paraId="5CB2A4A3" w14:textId="77777777" w:rsidR="00A27EAD" w:rsidRPr="004853E7" w:rsidRDefault="00A27EAD"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The Bank shall respond to the requests for additional information sent by CTIF-CFI within the periods determined by CTIF-CFI.</w:t>
      </w:r>
    </w:p>
    <w:p w14:paraId="4C62D62F" w14:textId="77777777" w:rsidR="00621829" w:rsidRPr="004853E7" w:rsidRDefault="00621829" w:rsidP="00677C16">
      <w:pPr>
        <w:pStyle w:val="ListParagraph"/>
        <w:snapToGrid w:val="0"/>
        <w:spacing w:line="240" w:lineRule="exact"/>
        <w:ind w:leftChars="0" w:left="482"/>
        <w:jc w:val="both"/>
        <w:rPr>
          <w:rFonts w:ascii="Tahoma" w:eastAsia="標楷體" w:hAnsi="Tahoma" w:cs="Tahoma"/>
          <w:sz w:val="20"/>
          <w:szCs w:val="20"/>
        </w:rPr>
      </w:pPr>
    </w:p>
    <w:p w14:paraId="06BFA22B" w14:textId="77777777" w:rsidR="00A27EAD" w:rsidRPr="004853E7" w:rsidRDefault="00680CDD"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 xml:space="preserve">When receiving a report of a suspicion or information, CTIF-CFI may freeze the execution of any transaction related to this report. </w:t>
      </w:r>
      <w:r w:rsidR="00AF19A9" w:rsidRPr="004853E7">
        <w:rPr>
          <w:rFonts w:ascii="Tahoma" w:eastAsia="標楷體" w:hAnsi="Tahoma" w:cs="Tahoma"/>
          <w:sz w:val="20"/>
          <w:szCs w:val="20"/>
        </w:rPr>
        <w:t>C</w:t>
      </w:r>
      <w:r w:rsidRPr="004853E7">
        <w:rPr>
          <w:rFonts w:ascii="Tahoma" w:eastAsia="標楷體" w:hAnsi="Tahoma" w:cs="Tahoma"/>
          <w:sz w:val="20"/>
          <w:szCs w:val="20"/>
        </w:rPr>
        <w:t xml:space="preserve">TIF-CFI shall immediately inform the Bank in writing </w:t>
      </w:r>
      <w:r w:rsidR="00AF19A9" w:rsidRPr="004853E7">
        <w:rPr>
          <w:rFonts w:ascii="Tahoma" w:eastAsia="標楷體" w:hAnsi="Tahoma" w:cs="Tahoma"/>
          <w:sz w:val="20"/>
          <w:szCs w:val="20"/>
        </w:rPr>
        <w:t>within</w:t>
      </w:r>
      <w:r w:rsidR="00FD1BE8" w:rsidRPr="004853E7">
        <w:rPr>
          <w:rFonts w:ascii="Tahoma" w:eastAsia="標楷體" w:hAnsi="Tahoma" w:cs="Tahoma"/>
          <w:sz w:val="20"/>
          <w:szCs w:val="20"/>
        </w:rPr>
        <w:t xml:space="preserve"> </w:t>
      </w:r>
      <w:r w:rsidRPr="004853E7">
        <w:rPr>
          <w:rFonts w:ascii="Tahoma" w:eastAsia="標楷體" w:hAnsi="Tahoma" w:cs="Tahoma"/>
          <w:sz w:val="20"/>
          <w:szCs w:val="20"/>
        </w:rPr>
        <w:t>maximum</w:t>
      </w:r>
      <w:r w:rsidR="00FD1BE8" w:rsidRPr="004853E7">
        <w:rPr>
          <w:rFonts w:ascii="Tahoma" w:eastAsia="標楷體" w:hAnsi="Tahoma" w:cs="Tahoma"/>
          <w:sz w:val="20"/>
          <w:szCs w:val="20"/>
        </w:rPr>
        <w:t xml:space="preserve"> </w:t>
      </w:r>
      <w:r w:rsidRPr="004853E7">
        <w:rPr>
          <w:rFonts w:ascii="Tahoma" w:eastAsia="標楷體" w:hAnsi="Tahoma" w:cs="Tahoma"/>
          <w:sz w:val="20"/>
          <w:szCs w:val="20"/>
        </w:rPr>
        <w:t>five working days from the time of notification.</w:t>
      </w:r>
    </w:p>
    <w:p w14:paraId="00BCFDFA" w14:textId="77777777" w:rsidR="00621829" w:rsidRPr="004853E7" w:rsidRDefault="00621829" w:rsidP="00677C16">
      <w:pPr>
        <w:pStyle w:val="ListParagraph"/>
        <w:snapToGrid w:val="0"/>
        <w:spacing w:line="240" w:lineRule="exact"/>
        <w:ind w:leftChars="0" w:left="482"/>
        <w:jc w:val="both"/>
        <w:rPr>
          <w:rFonts w:ascii="Tahoma" w:eastAsia="標楷體" w:hAnsi="Tahoma" w:cs="Tahoma"/>
          <w:sz w:val="20"/>
          <w:szCs w:val="20"/>
        </w:rPr>
      </w:pPr>
    </w:p>
    <w:p w14:paraId="6D6815B1" w14:textId="5B863CEB" w:rsidR="00680CDD" w:rsidRPr="004853E7" w:rsidRDefault="00680CDD" w:rsidP="00677C16">
      <w:pPr>
        <w:pStyle w:val="ListParagraph"/>
        <w:snapToGrid w:val="0"/>
        <w:spacing w:line="240" w:lineRule="exact"/>
        <w:ind w:leftChars="0" w:left="482"/>
        <w:jc w:val="both"/>
        <w:rPr>
          <w:rFonts w:ascii="Tahoma" w:eastAsia="標楷體" w:hAnsi="Tahoma" w:cs="Tahoma"/>
          <w:sz w:val="20"/>
          <w:szCs w:val="20"/>
        </w:rPr>
      </w:pPr>
      <w:r w:rsidRPr="004853E7">
        <w:rPr>
          <w:rFonts w:ascii="Tahoma" w:eastAsia="標楷體" w:hAnsi="Tahoma" w:cs="Tahoma"/>
          <w:sz w:val="20"/>
          <w:szCs w:val="20"/>
        </w:rPr>
        <w:t>In case</w:t>
      </w:r>
      <w:r w:rsidR="00DF1DB9" w:rsidRPr="004853E7">
        <w:rPr>
          <w:rFonts w:ascii="Tahoma" w:eastAsia="標楷體" w:hAnsi="Tahoma" w:cs="Tahoma"/>
          <w:sz w:val="20"/>
          <w:szCs w:val="20"/>
        </w:rPr>
        <w:t xml:space="preserve"> of</w:t>
      </w:r>
      <w:r w:rsidR="00AF19A9" w:rsidRPr="004853E7">
        <w:rPr>
          <w:rFonts w:ascii="Tahoma" w:eastAsia="標楷體" w:hAnsi="Tahoma" w:cs="Tahoma"/>
          <w:sz w:val="20"/>
          <w:szCs w:val="20"/>
        </w:rPr>
        <w:t xml:space="preserve"> not be</w:t>
      </w:r>
      <w:r w:rsidR="00037F93">
        <w:rPr>
          <w:rFonts w:ascii="Tahoma" w:eastAsia="標楷體" w:hAnsi="Tahoma" w:cs="Tahoma" w:hint="eastAsia"/>
          <w:sz w:val="20"/>
          <w:szCs w:val="20"/>
        </w:rPr>
        <w:t>ing</w:t>
      </w:r>
      <w:r w:rsidR="00FD1BE8" w:rsidRPr="004853E7">
        <w:rPr>
          <w:rFonts w:ascii="Tahoma" w:eastAsia="標楷體" w:hAnsi="Tahoma" w:cs="Tahoma"/>
          <w:sz w:val="20"/>
          <w:szCs w:val="20"/>
        </w:rPr>
        <w:t xml:space="preserve"> </w:t>
      </w:r>
      <w:r w:rsidRPr="004853E7">
        <w:rPr>
          <w:rFonts w:ascii="Tahoma" w:eastAsia="標楷體" w:hAnsi="Tahoma" w:cs="Tahoma"/>
          <w:sz w:val="20"/>
          <w:szCs w:val="20"/>
        </w:rPr>
        <w:t>notified of a decision</w:t>
      </w:r>
      <w:r w:rsidR="00AF19A9" w:rsidRPr="004853E7">
        <w:rPr>
          <w:rFonts w:ascii="Tahoma" w:eastAsia="標楷體" w:hAnsi="Tahoma" w:cs="Tahoma"/>
          <w:sz w:val="20"/>
          <w:szCs w:val="20"/>
        </w:rPr>
        <w:t xml:space="preserve"> </w:t>
      </w:r>
      <w:r w:rsidRPr="004853E7">
        <w:rPr>
          <w:rFonts w:ascii="Tahoma" w:eastAsia="標楷體" w:hAnsi="Tahoma" w:cs="Tahoma"/>
          <w:sz w:val="20"/>
          <w:szCs w:val="20"/>
        </w:rPr>
        <w:t>within the time period referred to in subparagraph 1 by CTIF-CFI, the Bank may carry out the transaction(s).</w:t>
      </w:r>
      <w:r w:rsidR="00E700DE" w:rsidRPr="004853E7">
        <w:rPr>
          <w:rFonts w:ascii="Tahoma" w:eastAsia="標楷體" w:hAnsi="Tahoma" w:cs="Tahoma"/>
          <w:sz w:val="20"/>
          <w:szCs w:val="20"/>
        </w:rPr>
        <w:t xml:space="preserve"> </w:t>
      </w:r>
    </w:p>
    <w:p w14:paraId="4D151825" w14:textId="6429AF95" w:rsidR="005856FD" w:rsidRPr="004853E7" w:rsidRDefault="00C723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bookmarkStart w:id="52" w:name="_Toc142480938"/>
      <w:bookmarkStart w:id="53" w:name="_Toc142484967"/>
      <w:r w:rsidRPr="004853E7">
        <w:rPr>
          <w:rFonts w:ascii="Tahoma" w:eastAsia="標楷體" w:hAnsi="Tahoma" w:cs="Tahoma"/>
          <w:sz w:val="20"/>
          <w:szCs w:val="20"/>
        </w:rPr>
        <w:t>Reporting obligation</w:t>
      </w:r>
      <w:bookmarkEnd w:id="52"/>
      <w:bookmarkEnd w:id="53"/>
    </w:p>
    <w:p w14:paraId="3D4C1796" w14:textId="77777777" w:rsidR="00621829" w:rsidRPr="004853E7" w:rsidRDefault="00621829" w:rsidP="00677C16">
      <w:pPr>
        <w:pStyle w:val="ListParagraph"/>
        <w:snapToGrid w:val="0"/>
        <w:spacing w:line="240" w:lineRule="exact"/>
        <w:ind w:leftChars="0" w:left="482"/>
        <w:jc w:val="both"/>
        <w:rPr>
          <w:rFonts w:ascii="Tahoma" w:eastAsia="標楷體" w:hAnsi="Tahoma" w:cs="Tahoma"/>
          <w:sz w:val="20"/>
          <w:szCs w:val="20"/>
        </w:rPr>
      </w:pPr>
    </w:p>
    <w:p w14:paraId="2B31AEA9" w14:textId="23E38980" w:rsidR="00B00803" w:rsidRPr="00353C9D" w:rsidRDefault="00D80496"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The reporting</w:t>
      </w:r>
      <w:r w:rsidR="00B00803" w:rsidRPr="004853E7">
        <w:rPr>
          <w:rFonts w:ascii="Tahoma" w:eastAsia="標楷體" w:hAnsi="Tahoma" w:cs="Tahoma"/>
          <w:sz w:val="20"/>
          <w:szCs w:val="20"/>
        </w:rPr>
        <w:t xml:space="preserve"> obligation exists when </w:t>
      </w:r>
      <w:r w:rsidR="00AF19A9" w:rsidRPr="004853E7">
        <w:rPr>
          <w:rFonts w:ascii="Tahoma" w:eastAsia="標楷體" w:hAnsi="Tahoma" w:cs="Tahoma"/>
          <w:sz w:val="20"/>
          <w:szCs w:val="20"/>
        </w:rPr>
        <w:t>transactions</w:t>
      </w:r>
      <w:r w:rsidR="00FD1BE8" w:rsidRPr="004853E7">
        <w:rPr>
          <w:rFonts w:ascii="Tahoma" w:eastAsia="標楷體" w:hAnsi="Tahoma" w:cs="Tahoma"/>
          <w:sz w:val="20"/>
          <w:szCs w:val="20"/>
        </w:rPr>
        <w:t xml:space="preserve"> </w:t>
      </w:r>
      <w:r w:rsidR="00B00803" w:rsidRPr="004853E7">
        <w:rPr>
          <w:rFonts w:ascii="Tahoma" w:eastAsia="標楷體" w:hAnsi="Tahoma" w:cs="Tahoma"/>
          <w:sz w:val="20"/>
          <w:szCs w:val="20"/>
        </w:rPr>
        <w:t>are initiated by entities established in countries with insufficient legislation concerning prevention of money laundering and terrorism. CTIF</w:t>
      </w:r>
      <w:r w:rsidR="00EA2EA5" w:rsidRPr="004853E7">
        <w:rPr>
          <w:rFonts w:ascii="Tahoma" w:eastAsia="標楷體" w:hAnsi="Tahoma" w:cs="Tahoma"/>
          <w:sz w:val="20"/>
          <w:szCs w:val="20"/>
        </w:rPr>
        <w:t>-CFI</w:t>
      </w:r>
      <w:r w:rsidR="00B00803" w:rsidRPr="004853E7">
        <w:rPr>
          <w:rFonts w:ascii="Tahoma" w:eastAsia="標楷體" w:hAnsi="Tahoma" w:cs="Tahoma"/>
          <w:sz w:val="20"/>
          <w:szCs w:val="20"/>
        </w:rPr>
        <w:t xml:space="preserve"> and NB</w:t>
      </w:r>
      <w:r w:rsidR="00EA2EA5" w:rsidRPr="004853E7">
        <w:rPr>
          <w:rFonts w:ascii="Tahoma" w:eastAsia="標楷體" w:hAnsi="Tahoma" w:cs="Tahoma"/>
          <w:sz w:val="20"/>
          <w:szCs w:val="20"/>
        </w:rPr>
        <w:t>B</w:t>
      </w:r>
      <w:r w:rsidR="00B00803" w:rsidRPr="004853E7">
        <w:rPr>
          <w:rFonts w:ascii="Tahoma" w:eastAsia="標楷體" w:hAnsi="Tahoma" w:cs="Tahoma"/>
          <w:sz w:val="20"/>
          <w:szCs w:val="20"/>
        </w:rPr>
        <w:t xml:space="preserve"> inform the banks of the</w:t>
      </w:r>
      <w:r w:rsidR="00AF19A9" w:rsidRPr="004853E7">
        <w:rPr>
          <w:rFonts w:ascii="Tahoma" w:eastAsia="標楷體" w:hAnsi="Tahoma" w:cs="Tahoma"/>
          <w:sz w:val="20"/>
          <w:szCs w:val="20"/>
        </w:rPr>
        <w:t>se</w:t>
      </w:r>
      <w:r w:rsidR="00B00803" w:rsidRPr="004853E7">
        <w:rPr>
          <w:rFonts w:ascii="Tahoma" w:eastAsia="標楷體" w:hAnsi="Tahoma" w:cs="Tahoma"/>
          <w:sz w:val="20"/>
          <w:szCs w:val="20"/>
        </w:rPr>
        <w:t xml:space="preserve"> countries/territories list.</w:t>
      </w:r>
      <w:r w:rsidR="00EA2EA5" w:rsidRPr="004853E7">
        <w:rPr>
          <w:rFonts w:ascii="Tahoma" w:eastAsia="標楷體" w:hAnsi="Tahoma" w:cs="Tahoma"/>
          <w:sz w:val="20"/>
          <w:szCs w:val="20"/>
        </w:rPr>
        <w:t xml:space="preserve"> </w:t>
      </w:r>
      <w:r w:rsidR="00B00803" w:rsidRPr="004853E7">
        <w:rPr>
          <w:rFonts w:ascii="Tahoma" w:eastAsia="標楷體" w:hAnsi="Tahoma" w:cs="Tahoma"/>
          <w:sz w:val="20"/>
          <w:szCs w:val="20"/>
        </w:rPr>
        <w:t>CTIF</w:t>
      </w:r>
      <w:r w:rsidR="00EA2EA5" w:rsidRPr="004853E7">
        <w:rPr>
          <w:rFonts w:ascii="Tahoma" w:eastAsia="標楷體" w:hAnsi="Tahoma" w:cs="Tahoma"/>
          <w:sz w:val="20"/>
          <w:szCs w:val="20"/>
        </w:rPr>
        <w:t>-CFI</w:t>
      </w:r>
      <w:r w:rsidR="00B00803" w:rsidRPr="004853E7">
        <w:rPr>
          <w:rFonts w:ascii="Tahoma" w:eastAsia="標楷體" w:hAnsi="Tahoma" w:cs="Tahoma"/>
          <w:sz w:val="20"/>
          <w:szCs w:val="20"/>
        </w:rPr>
        <w:t xml:space="preserve"> has to be informed by </w:t>
      </w:r>
      <w:r w:rsidR="00AF19A9" w:rsidRPr="004853E7">
        <w:rPr>
          <w:rFonts w:ascii="Tahoma" w:eastAsia="標楷體" w:hAnsi="Tahoma" w:cs="Tahoma"/>
          <w:sz w:val="20"/>
          <w:szCs w:val="20"/>
        </w:rPr>
        <w:t xml:space="preserve">the </w:t>
      </w:r>
      <w:r w:rsidR="00B3222B" w:rsidRPr="004853E7">
        <w:rPr>
          <w:rFonts w:ascii="Tahoma" w:eastAsia="標楷體" w:hAnsi="Tahoma" w:cs="Tahoma"/>
          <w:sz w:val="20"/>
          <w:szCs w:val="20"/>
        </w:rPr>
        <w:t>anti-money l</w:t>
      </w:r>
      <w:r w:rsidR="00EA2EA5" w:rsidRPr="004853E7">
        <w:rPr>
          <w:rFonts w:ascii="Tahoma" w:eastAsia="標楷體" w:hAnsi="Tahoma" w:cs="Tahoma"/>
          <w:sz w:val="20"/>
          <w:szCs w:val="20"/>
        </w:rPr>
        <w:t>aundering office</w:t>
      </w:r>
      <w:r w:rsidR="00593558" w:rsidRPr="004853E7">
        <w:rPr>
          <w:rFonts w:ascii="Tahoma" w:eastAsia="標楷體" w:hAnsi="Tahoma" w:cs="Tahoma"/>
          <w:sz w:val="20"/>
          <w:szCs w:val="20"/>
        </w:rPr>
        <w:t>r</w:t>
      </w:r>
      <w:r w:rsidR="00EA2EA5" w:rsidRPr="00353C9D">
        <w:rPr>
          <w:rFonts w:ascii="Tahoma" w:eastAsia="標楷體" w:hAnsi="Tahoma" w:cs="Tahoma"/>
          <w:sz w:val="20"/>
          <w:szCs w:val="20"/>
        </w:rPr>
        <w:t xml:space="preserve"> </w:t>
      </w:r>
      <w:r w:rsidR="00AB0AE4" w:rsidRPr="00353C9D">
        <w:rPr>
          <w:rFonts w:ascii="Tahoma" w:eastAsia="標楷體" w:hAnsi="Tahoma" w:cs="Tahoma" w:hint="eastAsia"/>
          <w:sz w:val="20"/>
          <w:szCs w:val="20"/>
        </w:rPr>
        <w:t>via the platform goAML</w:t>
      </w:r>
      <w:r w:rsidR="00EA2EA5" w:rsidRPr="00353C9D">
        <w:rPr>
          <w:rFonts w:ascii="Tahoma" w:eastAsia="標楷體" w:hAnsi="Tahoma" w:cs="Tahoma"/>
          <w:sz w:val="20"/>
          <w:szCs w:val="20"/>
        </w:rPr>
        <w:t>.</w:t>
      </w:r>
    </w:p>
    <w:p w14:paraId="2C0642B7" w14:textId="77777777" w:rsidR="00621829" w:rsidRPr="00353C9D" w:rsidRDefault="00621829" w:rsidP="00677C16">
      <w:pPr>
        <w:pStyle w:val="ListParagraph"/>
        <w:snapToGrid w:val="0"/>
        <w:spacing w:line="240" w:lineRule="exact"/>
        <w:ind w:leftChars="0" w:left="482"/>
        <w:jc w:val="both"/>
        <w:rPr>
          <w:rFonts w:ascii="Tahoma" w:eastAsia="標楷體" w:hAnsi="Tahoma" w:cs="Tahoma"/>
          <w:sz w:val="20"/>
          <w:szCs w:val="20"/>
        </w:rPr>
      </w:pPr>
    </w:p>
    <w:p w14:paraId="073A3E9A" w14:textId="77777777" w:rsidR="000633BB" w:rsidRPr="00A23834" w:rsidRDefault="000633BB"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4853E7">
        <w:rPr>
          <w:rFonts w:ascii="Tahoma" w:eastAsia="標楷體" w:hAnsi="Tahoma" w:cs="Tahoma"/>
          <w:sz w:val="20"/>
          <w:szCs w:val="20"/>
        </w:rPr>
        <w:t>In case of a positive match with the sanctions lists</w:t>
      </w:r>
      <w:r w:rsidR="00AF19A9" w:rsidRPr="004853E7">
        <w:rPr>
          <w:rFonts w:ascii="Tahoma" w:eastAsia="標楷體" w:hAnsi="Tahoma" w:cs="Tahoma"/>
          <w:sz w:val="20"/>
          <w:szCs w:val="20"/>
        </w:rPr>
        <w:t xml:space="preserve"> published by </w:t>
      </w:r>
      <w:r w:rsidR="004F3841" w:rsidRPr="004853E7">
        <w:rPr>
          <w:rFonts w:ascii="Tahoma" w:eastAsia="標楷體" w:hAnsi="Tahoma" w:cs="Tahoma"/>
          <w:sz w:val="20"/>
          <w:szCs w:val="20"/>
        </w:rPr>
        <w:t xml:space="preserve">the competent authorities, such as </w:t>
      </w:r>
      <w:r w:rsidR="00AF19A9" w:rsidRPr="004853E7">
        <w:rPr>
          <w:rFonts w:ascii="Tahoma" w:eastAsia="標楷體" w:hAnsi="Tahoma" w:cs="Tahoma"/>
          <w:sz w:val="20"/>
          <w:szCs w:val="20"/>
        </w:rPr>
        <w:t>EU</w:t>
      </w:r>
      <w:r w:rsidR="004F3841" w:rsidRPr="004853E7">
        <w:rPr>
          <w:rFonts w:ascii="Tahoma" w:eastAsia="標楷體" w:hAnsi="Tahoma" w:cs="Tahoma"/>
          <w:sz w:val="20"/>
          <w:szCs w:val="20"/>
        </w:rPr>
        <w:t xml:space="preserve">, United Nations </w:t>
      </w:r>
      <w:r w:rsidR="00AF19A9" w:rsidRPr="004853E7">
        <w:rPr>
          <w:rFonts w:ascii="Tahoma" w:eastAsia="標楷體" w:hAnsi="Tahoma" w:cs="Tahoma"/>
          <w:sz w:val="20"/>
          <w:szCs w:val="20"/>
        </w:rPr>
        <w:t>and Belgi</w:t>
      </w:r>
      <w:r w:rsidR="00B652F1" w:rsidRPr="004853E7">
        <w:rPr>
          <w:rFonts w:ascii="Tahoma" w:eastAsia="標楷體" w:hAnsi="Tahoma" w:cs="Tahoma"/>
          <w:sz w:val="20"/>
          <w:szCs w:val="20"/>
        </w:rPr>
        <w:t>um</w:t>
      </w:r>
      <w:r w:rsidR="00BA6C98" w:rsidRPr="004853E7">
        <w:rPr>
          <w:rFonts w:ascii="Tahoma" w:eastAsia="標楷體" w:hAnsi="Tahoma" w:cs="Tahoma"/>
          <w:sz w:val="20"/>
          <w:szCs w:val="20"/>
        </w:rPr>
        <w:t>,</w:t>
      </w:r>
      <w:r w:rsidR="00573F61" w:rsidRPr="004853E7">
        <w:rPr>
          <w:rFonts w:ascii="Tahoma" w:eastAsia="標楷體" w:hAnsi="Tahoma" w:cs="Tahoma"/>
          <w:sz w:val="20"/>
          <w:szCs w:val="20"/>
        </w:rPr>
        <w:t xml:space="preserve"> </w:t>
      </w:r>
      <w:r w:rsidRPr="004853E7">
        <w:rPr>
          <w:rFonts w:ascii="Tahoma" w:eastAsia="標楷體" w:hAnsi="Tahoma" w:cs="Tahoma"/>
          <w:sz w:val="20"/>
          <w:szCs w:val="20"/>
        </w:rPr>
        <w:t>the bank has to inform the Minister of Finance</w:t>
      </w:r>
      <w:r w:rsidR="00E50050" w:rsidRPr="004853E7">
        <w:rPr>
          <w:rFonts w:ascii="Tahoma" w:eastAsia="標楷體" w:hAnsi="Tahoma" w:cs="Tahoma"/>
          <w:sz w:val="20"/>
          <w:szCs w:val="20"/>
        </w:rPr>
        <w:t xml:space="preserve"> (at the address of the General Treasury Administration)</w:t>
      </w:r>
      <w:r w:rsidRPr="004853E7">
        <w:rPr>
          <w:rFonts w:ascii="Tahoma" w:eastAsia="標楷體" w:hAnsi="Tahoma" w:cs="Tahoma"/>
          <w:sz w:val="20"/>
          <w:szCs w:val="20"/>
        </w:rPr>
        <w:t xml:space="preserve"> </w:t>
      </w:r>
      <w:r w:rsidR="00BA6C98" w:rsidRPr="004853E7">
        <w:rPr>
          <w:rFonts w:ascii="Tahoma" w:eastAsia="標楷體" w:hAnsi="Tahoma" w:cs="Tahoma"/>
          <w:sz w:val="20"/>
          <w:szCs w:val="20"/>
        </w:rPr>
        <w:t>and has the</w:t>
      </w:r>
      <w:r w:rsidR="00FD1BE8" w:rsidRPr="004853E7">
        <w:rPr>
          <w:rFonts w:ascii="Tahoma" w:eastAsia="標楷體" w:hAnsi="Tahoma" w:cs="Tahoma"/>
          <w:sz w:val="20"/>
          <w:szCs w:val="20"/>
        </w:rPr>
        <w:t xml:space="preserve"> </w:t>
      </w:r>
      <w:r w:rsidRPr="004853E7">
        <w:rPr>
          <w:rFonts w:ascii="Tahoma" w:eastAsia="標楷體" w:hAnsi="Tahoma" w:cs="Tahoma"/>
          <w:sz w:val="20"/>
          <w:szCs w:val="20"/>
        </w:rPr>
        <w:t xml:space="preserve">obligation to freeze the funds and economic resources of these persons and entities. If necessary, the CTIF-CFI must also be informed if the bank knows or suspects that the transactions </w:t>
      </w:r>
      <w:r w:rsidRPr="00A23834">
        <w:rPr>
          <w:rFonts w:ascii="Tahoma" w:eastAsia="標楷體" w:hAnsi="Tahoma" w:cs="Tahoma"/>
          <w:sz w:val="20"/>
          <w:szCs w:val="20"/>
        </w:rPr>
        <w:t>carried out the customer in respect of whom a positive match with the sanctions list has been found, are linked to money laundering or terrorist financing.</w:t>
      </w:r>
    </w:p>
    <w:p w14:paraId="60803E6F" w14:textId="77777777" w:rsidR="00621829" w:rsidRPr="00A23834" w:rsidRDefault="00621829" w:rsidP="00677C16">
      <w:pPr>
        <w:pStyle w:val="ListParagraph"/>
        <w:snapToGrid w:val="0"/>
        <w:spacing w:line="240" w:lineRule="exact"/>
        <w:ind w:leftChars="0" w:left="482"/>
        <w:jc w:val="both"/>
        <w:rPr>
          <w:rFonts w:ascii="Tahoma" w:eastAsia="標楷體" w:hAnsi="Tahoma" w:cs="Tahoma"/>
          <w:sz w:val="20"/>
          <w:szCs w:val="20"/>
        </w:rPr>
      </w:pPr>
    </w:p>
    <w:p w14:paraId="32E813C6" w14:textId="77777777" w:rsidR="009F7FBE" w:rsidRPr="00A23834" w:rsidRDefault="00BF5C33"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Confidentiality of the reporting documentation and information:</w:t>
      </w:r>
    </w:p>
    <w:p w14:paraId="0C4B588B" w14:textId="77777777" w:rsidR="00BF5C33" w:rsidRPr="00A23834" w:rsidRDefault="00BF5C33"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A</w:t>
      </w:r>
      <w:r w:rsidR="00B3222B" w:rsidRPr="00A23834">
        <w:rPr>
          <w:rFonts w:ascii="Tahoma" w:eastAsia="標楷體" w:hAnsi="Tahoma" w:cs="Tahoma"/>
          <w:sz w:val="20"/>
          <w:szCs w:val="20"/>
        </w:rPr>
        <w:t>ll the personnel have</w:t>
      </w:r>
      <w:r w:rsidRPr="00A23834">
        <w:rPr>
          <w:rFonts w:ascii="Tahoma" w:eastAsia="標楷體" w:hAnsi="Tahoma" w:cs="Tahoma"/>
          <w:sz w:val="20"/>
          <w:szCs w:val="20"/>
        </w:rPr>
        <w:t xml:space="preserve"> to keep confidentiality of the information related to the suspicious anti-money or terrorism financing transaction.</w:t>
      </w:r>
    </w:p>
    <w:p w14:paraId="41907628" w14:textId="77777777" w:rsidR="00BF5C33" w:rsidRPr="00A23834" w:rsidRDefault="00320C43"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The reporting documentation should be handled as secret files. </w:t>
      </w:r>
    </w:p>
    <w:p w14:paraId="5E11B612" w14:textId="77777777" w:rsidR="00320C43" w:rsidRPr="00A23834" w:rsidRDefault="00320C43"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The compliance officer or the auditing staff should have access to the client information and transaction records </w:t>
      </w:r>
      <w:r w:rsidR="00B3222B" w:rsidRPr="00A23834">
        <w:rPr>
          <w:rFonts w:ascii="Tahoma" w:eastAsia="標楷體" w:hAnsi="Tahoma" w:cs="Tahoma"/>
          <w:sz w:val="20"/>
          <w:szCs w:val="20"/>
        </w:rPr>
        <w:t>in time, but still need to</w:t>
      </w:r>
      <w:r w:rsidRPr="00A23834">
        <w:rPr>
          <w:rFonts w:ascii="Tahoma" w:eastAsia="標楷體" w:hAnsi="Tahoma" w:cs="Tahoma"/>
          <w:sz w:val="20"/>
          <w:szCs w:val="20"/>
        </w:rPr>
        <w:t xml:space="preserve"> exercise care to ensure the confidentiality of the information.</w:t>
      </w:r>
    </w:p>
    <w:p w14:paraId="6882ACB3" w14:textId="77777777" w:rsidR="00621829" w:rsidRPr="00A23834" w:rsidRDefault="00621829" w:rsidP="00677C16">
      <w:pPr>
        <w:pStyle w:val="ListParagraph"/>
        <w:snapToGrid w:val="0"/>
        <w:spacing w:line="240" w:lineRule="exact"/>
        <w:ind w:leftChars="0" w:left="964"/>
        <w:jc w:val="both"/>
        <w:rPr>
          <w:rFonts w:ascii="Tahoma" w:eastAsia="標楷體" w:hAnsi="Tahoma" w:cs="Tahoma"/>
          <w:sz w:val="20"/>
          <w:szCs w:val="20"/>
        </w:rPr>
      </w:pPr>
    </w:p>
    <w:p w14:paraId="21BEECEE" w14:textId="1372DD7E" w:rsidR="00F76FEE" w:rsidRPr="00A23834" w:rsidRDefault="00F76FEE" w:rsidP="00F76FEE">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The processing of personal data is subject to the provisions of the EU Directive 2016/679 and the Belgian GDPR law of 30</w:t>
      </w:r>
      <w:r w:rsidR="00037F93">
        <w:rPr>
          <w:rFonts w:ascii="Tahoma" w:eastAsia="標楷體" w:hAnsi="Tahoma" w:cs="Tahoma" w:hint="eastAsia"/>
          <w:sz w:val="20"/>
          <w:szCs w:val="20"/>
        </w:rPr>
        <w:t xml:space="preserve"> </w:t>
      </w:r>
      <w:r w:rsidRPr="00A23834">
        <w:rPr>
          <w:rFonts w:ascii="Tahoma" w:eastAsia="標楷體" w:hAnsi="Tahoma" w:cs="Tahoma"/>
          <w:sz w:val="20"/>
          <w:szCs w:val="20"/>
        </w:rPr>
        <w:t>July 2018 regarding the protection of privacy in relation to the processing of personal data</w:t>
      </w:r>
      <w:r w:rsidRPr="00A23834">
        <w:rPr>
          <w:rFonts w:ascii="Tahoma" w:eastAsia="標楷體" w:hAnsi="Tahoma" w:cs="Tahoma" w:hint="eastAsia"/>
          <w:sz w:val="20"/>
          <w:szCs w:val="20"/>
        </w:rPr>
        <w:t>.</w:t>
      </w:r>
      <w:r w:rsidRPr="00A23834">
        <w:rPr>
          <w:rFonts w:ascii="Tahoma" w:eastAsia="標楷體" w:hAnsi="Tahoma" w:cs="Tahoma"/>
          <w:sz w:val="20"/>
          <w:szCs w:val="20"/>
        </w:rPr>
        <w:t xml:space="preserve"> The Bank will only process personal data in accordance with the EU Directive 2016/679 and the Belgian GDPR Law of 30 July 2018 and does not subsequently process this data in a way that is incompatible with these purposes.</w:t>
      </w:r>
    </w:p>
    <w:p w14:paraId="3A1BC2A5" w14:textId="77777777" w:rsidR="00621829" w:rsidRPr="00A23834" w:rsidRDefault="00621829" w:rsidP="00677C16">
      <w:pPr>
        <w:pStyle w:val="ListParagraph"/>
        <w:snapToGrid w:val="0"/>
        <w:spacing w:line="240" w:lineRule="exact"/>
        <w:ind w:leftChars="0" w:left="482"/>
        <w:jc w:val="both"/>
        <w:rPr>
          <w:rFonts w:ascii="Tahoma" w:eastAsia="標楷體" w:hAnsi="Tahoma" w:cs="Tahoma"/>
          <w:sz w:val="20"/>
          <w:szCs w:val="20"/>
        </w:rPr>
      </w:pPr>
    </w:p>
    <w:p w14:paraId="56070DC8" w14:textId="47DBE2C1" w:rsidR="00951922" w:rsidRPr="00A23834" w:rsidRDefault="00214D2F"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The Bank shall provide </w:t>
      </w:r>
      <w:r w:rsidR="006229C6">
        <w:rPr>
          <w:rFonts w:ascii="Tahoma" w:eastAsia="標楷體" w:hAnsi="Tahoma" w:cs="Tahoma"/>
          <w:sz w:val="20"/>
          <w:szCs w:val="20"/>
        </w:rPr>
        <w:t>its</w:t>
      </w:r>
      <w:r w:rsidRPr="00A23834">
        <w:rPr>
          <w:rFonts w:ascii="Tahoma" w:eastAsia="標楷體" w:hAnsi="Tahoma" w:cs="Tahoma"/>
          <w:sz w:val="20"/>
          <w:szCs w:val="20"/>
        </w:rPr>
        <w:t xml:space="preserve"> customers with the required information in accordance with Article 9 of the aforementioned Law of 8 December 1992</w:t>
      </w:r>
      <w:r w:rsidR="00FD1BE8" w:rsidRPr="00A23834">
        <w:rPr>
          <w:rFonts w:ascii="Tahoma" w:eastAsia="標楷體" w:hAnsi="Tahoma" w:cs="Tahoma"/>
          <w:sz w:val="20"/>
          <w:szCs w:val="20"/>
        </w:rPr>
        <w:t xml:space="preserve"> </w:t>
      </w:r>
      <w:r w:rsidR="002D3B1B" w:rsidRPr="00A23834">
        <w:rPr>
          <w:rFonts w:ascii="Tahoma" w:eastAsia="標楷體" w:hAnsi="Tahoma" w:cs="Tahoma"/>
          <w:sz w:val="20"/>
          <w:szCs w:val="20"/>
        </w:rPr>
        <w:t>prior to</w:t>
      </w:r>
      <w:r w:rsidR="00520F35" w:rsidRPr="00A23834">
        <w:rPr>
          <w:rFonts w:ascii="Tahoma" w:eastAsia="標楷體" w:hAnsi="Tahoma" w:cs="Tahoma"/>
          <w:sz w:val="20"/>
          <w:szCs w:val="20"/>
        </w:rPr>
        <w:t xml:space="preserve"> </w:t>
      </w:r>
      <w:r w:rsidRPr="00A23834">
        <w:rPr>
          <w:rFonts w:ascii="Tahoma" w:eastAsia="標楷體" w:hAnsi="Tahoma" w:cs="Tahoma"/>
          <w:sz w:val="20"/>
          <w:szCs w:val="20"/>
        </w:rPr>
        <w:t>establishing a business relationship.</w:t>
      </w:r>
    </w:p>
    <w:p w14:paraId="67A88353" w14:textId="45E8E192" w:rsidR="009F7FBE" w:rsidRPr="00A23834" w:rsidRDefault="00C723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bookmarkStart w:id="54" w:name="_Toc142480939"/>
      <w:bookmarkStart w:id="55" w:name="_Toc142484968"/>
      <w:r>
        <w:rPr>
          <w:rFonts w:ascii="Tahoma" w:eastAsia="標楷體" w:hAnsi="Tahoma" w:cs="Tahoma" w:hint="eastAsia"/>
          <w:sz w:val="20"/>
          <w:szCs w:val="20"/>
        </w:rPr>
        <w:t>Re</w:t>
      </w:r>
      <w:r>
        <w:rPr>
          <w:rFonts w:ascii="Tahoma" w:eastAsia="標楷體" w:hAnsi="Tahoma" w:cs="Tahoma"/>
          <w:sz w:val="20"/>
          <w:szCs w:val="20"/>
        </w:rPr>
        <w:t>cord retention period</w:t>
      </w:r>
      <w:bookmarkEnd w:id="54"/>
      <w:bookmarkEnd w:id="55"/>
    </w:p>
    <w:p w14:paraId="46C306E8" w14:textId="77777777" w:rsidR="00621829" w:rsidRPr="00A23834" w:rsidRDefault="00621829" w:rsidP="00677C16">
      <w:pPr>
        <w:snapToGrid w:val="0"/>
        <w:spacing w:line="240" w:lineRule="exact"/>
        <w:jc w:val="both"/>
        <w:rPr>
          <w:rFonts w:ascii="Tahoma" w:eastAsia="標楷體" w:hAnsi="Tahoma" w:cs="Tahoma"/>
          <w:kern w:val="0"/>
          <w:sz w:val="20"/>
          <w:szCs w:val="20"/>
        </w:rPr>
      </w:pPr>
    </w:p>
    <w:p w14:paraId="42ECC082" w14:textId="77777777" w:rsidR="009F7FBE" w:rsidRPr="00A23834" w:rsidRDefault="00E7750F" w:rsidP="00677C16">
      <w:pPr>
        <w:snapToGrid w:val="0"/>
        <w:spacing w:line="240" w:lineRule="exact"/>
        <w:jc w:val="both"/>
        <w:rPr>
          <w:rFonts w:ascii="Tahoma" w:eastAsia="標楷體" w:hAnsi="Tahoma" w:cs="Tahoma"/>
          <w:sz w:val="20"/>
          <w:szCs w:val="20"/>
        </w:rPr>
      </w:pPr>
      <w:r w:rsidRPr="00A23834">
        <w:rPr>
          <w:rFonts w:ascii="Tahoma" w:eastAsia="標楷體" w:hAnsi="Tahoma" w:cs="Tahoma"/>
          <w:kern w:val="0"/>
          <w:sz w:val="20"/>
          <w:szCs w:val="20"/>
        </w:rPr>
        <w:t>The bank shall</w:t>
      </w:r>
      <w:r w:rsidR="00FD1BE8" w:rsidRPr="00A23834">
        <w:rPr>
          <w:rFonts w:ascii="Tahoma" w:eastAsia="標楷體" w:hAnsi="Tahoma" w:cs="Tahoma"/>
          <w:kern w:val="0"/>
          <w:sz w:val="20"/>
          <w:szCs w:val="20"/>
        </w:rPr>
        <w:t xml:space="preserve"> </w:t>
      </w:r>
      <w:r w:rsidR="002D3B1B" w:rsidRPr="00A23834">
        <w:rPr>
          <w:rFonts w:ascii="Tahoma" w:eastAsia="標楷體" w:hAnsi="Tahoma" w:cs="Tahoma"/>
          <w:kern w:val="0"/>
          <w:sz w:val="20"/>
          <w:szCs w:val="20"/>
        </w:rPr>
        <w:t>keep records</w:t>
      </w:r>
      <w:r w:rsidR="00FD1BE8" w:rsidRPr="00A23834">
        <w:rPr>
          <w:rFonts w:ascii="Tahoma" w:eastAsia="標楷體" w:hAnsi="Tahoma" w:cs="Tahoma"/>
          <w:kern w:val="0"/>
          <w:sz w:val="20"/>
          <w:szCs w:val="20"/>
        </w:rPr>
        <w:t xml:space="preserve"> </w:t>
      </w:r>
      <w:r w:rsidRPr="00A23834">
        <w:rPr>
          <w:rFonts w:ascii="Tahoma" w:eastAsia="標楷體" w:hAnsi="Tahoma" w:cs="Tahoma"/>
          <w:kern w:val="0"/>
          <w:sz w:val="20"/>
          <w:szCs w:val="20"/>
        </w:rPr>
        <w:t>on all business relations and transactions with its clients in accordance with the following provisions:</w:t>
      </w:r>
    </w:p>
    <w:p w14:paraId="0FA206FB" w14:textId="77777777" w:rsidR="009F7FBE" w:rsidRPr="00A23834" w:rsidRDefault="00E7750F"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The bank shall maintain all necessary records on transactions </w:t>
      </w:r>
      <w:r w:rsidRPr="00A23834">
        <w:rPr>
          <w:rFonts w:ascii="Tahoma" w:eastAsia="標楷體" w:hAnsi="Tahoma" w:cs="Tahoma"/>
          <w:sz w:val="20"/>
          <w:szCs w:val="20"/>
          <w:lang w:eastAsia="zh-HK"/>
        </w:rPr>
        <w:t>effected</w:t>
      </w:r>
      <w:r w:rsidRPr="00A23834">
        <w:rPr>
          <w:rFonts w:ascii="Tahoma" w:eastAsia="標楷體" w:hAnsi="Tahoma" w:cs="Tahoma"/>
          <w:sz w:val="20"/>
          <w:szCs w:val="20"/>
        </w:rPr>
        <w:t xml:space="preserve"> for </w:t>
      </w:r>
      <w:r w:rsidR="00F42A85" w:rsidRPr="00A23834">
        <w:rPr>
          <w:rFonts w:ascii="Tahoma" w:eastAsia="標楷體" w:hAnsi="Tahoma" w:cs="Tahoma"/>
          <w:sz w:val="20"/>
          <w:szCs w:val="20"/>
        </w:rPr>
        <w:t>ten</w:t>
      </w:r>
      <w:r w:rsidRPr="00A23834">
        <w:rPr>
          <w:rFonts w:ascii="Tahoma" w:eastAsia="標楷體" w:hAnsi="Tahoma" w:cs="Tahoma"/>
          <w:sz w:val="20"/>
          <w:szCs w:val="20"/>
        </w:rPr>
        <w:t xml:space="preserve"> years. The aforementioned necessary records include:</w:t>
      </w:r>
    </w:p>
    <w:p w14:paraId="55F29729" w14:textId="77777777" w:rsidR="00E7750F" w:rsidRPr="00A23834" w:rsidRDefault="00E7750F"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Names, account numbers or identification numbers of all parties in the transactions.</w:t>
      </w:r>
    </w:p>
    <w:p w14:paraId="569DE0C7" w14:textId="77777777" w:rsidR="00FE733D" w:rsidRPr="00A23834" w:rsidRDefault="00E7750F"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Transaction date</w:t>
      </w:r>
    </w:p>
    <w:p w14:paraId="01C506D1" w14:textId="5996E8B8" w:rsidR="00E7750F" w:rsidRPr="00A23834" w:rsidRDefault="00C827A0" w:rsidP="00677C16">
      <w:pPr>
        <w:pStyle w:val="ListParagraph"/>
        <w:numPr>
          <w:ilvl w:val="2"/>
          <w:numId w:val="5"/>
        </w:numPr>
        <w:snapToGrid w:val="0"/>
        <w:spacing w:line="240" w:lineRule="exact"/>
        <w:ind w:leftChars="0"/>
        <w:jc w:val="both"/>
        <w:rPr>
          <w:rFonts w:ascii="Tahoma" w:eastAsia="標楷體" w:hAnsi="Tahoma" w:cs="Tahoma"/>
          <w:sz w:val="20"/>
          <w:szCs w:val="20"/>
        </w:rPr>
      </w:pPr>
      <w:r>
        <w:rPr>
          <w:rFonts w:ascii="Tahoma" w:eastAsia="標楷體" w:hAnsi="Tahoma" w:cs="Tahoma"/>
          <w:sz w:val="20"/>
          <w:szCs w:val="20"/>
        </w:rPr>
        <w:t>T</w:t>
      </w:r>
      <w:r w:rsidR="00E7750F" w:rsidRPr="00A23834">
        <w:rPr>
          <w:rFonts w:ascii="Tahoma" w:eastAsia="標楷體" w:hAnsi="Tahoma" w:cs="Tahoma"/>
          <w:sz w:val="20"/>
          <w:szCs w:val="20"/>
        </w:rPr>
        <w:t>ype of currency and amount.</w:t>
      </w:r>
    </w:p>
    <w:p w14:paraId="7EA32F34" w14:textId="77777777" w:rsidR="00E7750F" w:rsidRPr="00A23834" w:rsidRDefault="00E7750F"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The method to deposit or withdraw the funds.</w:t>
      </w:r>
    </w:p>
    <w:p w14:paraId="5556CF55" w14:textId="77777777" w:rsidR="00E7750F" w:rsidRPr="00A23834" w:rsidRDefault="00E7750F"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The destination of the funds.</w:t>
      </w:r>
    </w:p>
    <w:p w14:paraId="7E5CE0F1" w14:textId="7E71060E" w:rsidR="00E7750F" w:rsidRPr="00A23834" w:rsidRDefault="00E7750F"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The method of instruction or authorization.</w:t>
      </w:r>
    </w:p>
    <w:p w14:paraId="5102506E" w14:textId="77777777" w:rsidR="002A591A" w:rsidRPr="00A23834" w:rsidRDefault="002A591A" w:rsidP="002A591A">
      <w:pPr>
        <w:snapToGrid w:val="0"/>
        <w:spacing w:line="240" w:lineRule="exact"/>
        <w:ind w:left="482"/>
        <w:jc w:val="both"/>
        <w:rPr>
          <w:rFonts w:ascii="Tahoma" w:eastAsia="標楷體" w:hAnsi="Tahoma" w:cs="Tahoma"/>
          <w:sz w:val="20"/>
          <w:szCs w:val="20"/>
        </w:rPr>
      </w:pPr>
    </w:p>
    <w:p w14:paraId="4C2E816D" w14:textId="77777777" w:rsidR="00E7750F" w:rsidRPr="00A23834" w:rsidRDefault="00E7750F"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The bank shall keep the following information for </w:t>
      </w:r>
      <w:r w:rsidR="00F42A85" w:rsidRPr="00A23834">
        <w:rPr>
          <w:rFonts w:ascii="Tahoma" w:eastAsia="標楷體" w:hAnsi="Tahoma" w:cs="Tahoma"/>
          <w:sz w:val="20"/>
          <w:szCs w:val="20"/>
          <w:lang w:eastAsia="zh-HK"/>
        </w:rPr>
        <w:t>ten</w:t>
      </w:r>
      <w:r w:rsidRPr="00A23834">
        <w:rPr>
          <w:rFonts w:ascii="Tahoma" w:eastAsia="標楷體" w:hAnsi="Tahoma" w:cs="Tahoma"/>
          <w:sz w:val="20"/>
          <w:szCs w:val="20"/>
        </w:rPr>
        <w:t xml:space="preserve"> years after the business relationship has ended:</w:t>
      </w:r>
    </w:p>
    <w:p w14:paraId="62F01940" w14:textId="2B528210" w:rsidR="00F76FEE" w:rsidRPr="00A23834" w:rsidRDefault="00E7750F" w:rsidP="00EC3C91">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All records obtained through the measures of checking and verifying the identity of c</w:t>
      </w:r>
      <w:r w:rsidRPr="00A23834">
        <w:rPr>
          <w:rFonts w:ascii="Tahoma" w:eastAsia="標楷體" w:hAnsi="Tahoma" w:cs="Tahoma"/>
          <w:sz w:val="20"/>
          <w:szCs w:val="20"/>
          <w:lang w:eastAsia="zh-HK"/>
        </w:rPr>
        <w:t>ustomer</w:t>
      </w:r>
      <w:r w:rsidRPr="00A23834">
        <w:rPr>
          <w:rFonts w:ascii="Tahoma" w:eastAsia="標楷體" w:hAnsi="Tahoma" w:cs="Tahoma"/>
          <w:sz w:val="20"/>
          <w:szCs w:val="20"/>
        </w:rPr>
        <w:t>, such as passports, identification cards, copies of similar official documents or records</w:t>
      </w:r>
      <w:r w:rsidR="00F76FEE" w:rsidRPr="00A23834">
        <w:rPr>
          <w:rFonts w:ascii="Tahoma" w:eastAsia="標楷體" w:hAnsi="Tahoma" w:cs="Tahoma"/>
          <w:sz w:val="20"/>
          <w:szCs w:val="20"/>
        </w:rPr>
        <w:t xml:space="preserve"> and documents wi</w:t>
      </w:r>
      <w:r w:rsidR="008115E5" w:rsidRPr="00A23834">
        <w:rPr>
          <w:rFonts w:ascii="Tahoma" w:eastAsia="標楷體" w:hAnsi="Tahoma" w:cs="Tahoma" w:hint="eastAsia"/>
          <w:sz w:val="20"/>
          <w:szCs w:val="20"/>
        </w:rPr>
        <w:t>t</w:t>
      </w:r>
      <w:r w:rsidR="008115E5" w:rsidRPr="00A23834">
        <w:rPr>
          <w:rFonts w:ascii="Tahoma" w:eastAsia="標楷體" w:hAnsi="Tahoma" w:cs="Tahoma"/>
          <w:sz w:val="20"/>
          <w:szCs w:val="20"/>
        </w:rPr>
        <w:t>h</w:t>
      </w:r>
      <w:r w:rsidR="00F76FEE" w:rsidRPr="00A23834">
        <w:rPr>
          <w:rFonts w:ascii="Tahoma" w:eastAsia="標楷體" w:hAnsi="Tahoma" w:cs="Tahoma"/>
          <w:sz w:val="20"/>
          <w:szCs w:val="20"/>
        </w:rPr>
        <w:t xml:space="preserve"> information on any difficulties encountered during the verification process.</w:t>
      </w:r>
    </w:p>
    <w:p w14:paraId="2CA60B0E" w14:textId="77777777" w:rsidR="00E7750F" w:rsidRPr="00A23834" w:rsidRDefault="00E7750F" w:rsidP="00EC3C91">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Account files.</w:t>
      </w:r>
    </w:p>
    <w:p w14:paraId="7902D24D" w14:textId="60B9B3F6" w:rsidR="00E7750F" w:rsidRPr="00A23834" w:rsidRDefault="00E7750F" w:rsidP="00677C16">
      <w:pPr>
        <w:pStyle w:val="ListParagraph"/>
        <w:numPr>
          <w:ilvl w:val="2"/>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Business correspondence including inquiries to establish the background and purpose of complex, unusual transactions and the results of any analysis undertaken.</w:t>
      </w:r>
    </w:p>
    <w:p w14:paraId="4F39D908" w14:textId="77777777" w:rsidR="002A591A" w:rsidRPr="00A23834" w:rsidRDefault="002A591A" w:rsidP="002A591A">
      <w:pPr>
        <w:pStyle w:val="ListParagraph"/>
        <w:snapToGrid w:val="0"/>
        <w:spacing w:line="240" w:lineRule="exact"/>
        <w:ind w:leftChars="0" w:left="964"/>
        <w:jc w:val="both"/>
        <w:rPr>
          <w:rFonts w:ascii="Tahoma" w:eastAsia="標楷體" w:hAnsi="Tahoma" w:cs="Tahoma"/>
          <w:sz w:val="20"/>
          <w:szCs w:val="20"/>
        </w:rPr>
      </w:pPr>
    </w:p>
    <w:p w14:paraId="7C4AD957" w14:textId="122269A5" w:rsidR="00E7750F" w:rsidRDefault="00E7750F"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For the reporting of suspicious money laundering or terrorism financing transactions, the declaration records and transaction vouchers shall be archived for </w:t>
      </w:r>
      <w:r w:rsidR="00F42A85" w:rsidRPr="00A23834">
        <w:rPr>
          <w:rFonts w:ascii="Tahoma" w:eastAsia="標楷體" w:hAnsi="Tahoma" w:cs="Tahoma"/>
          <w:sz w:val="20"/>
          <w:szCs w:val="20"/>
          <w:lang w:eastAsia="zh-HK"/>
        </w:rPr>
        <w:t>ten</w:t>
      </w:r>
      <w:r w:rsidRPr="00A23834">
        <w:rPr>
          <w:rFonts w:ascii="Tahoma" w:eastAsia="標楷體" w:hAnsi="Tahoma" w:cs="Tahoma"/>
          <w:sz w:val="20"/>
          <w:szCs w:val="20"/>
        </w:rPr>
        <w:t xml:space="preserve"> years in the original manner.</w:t>
      </w:r>
    </w:p>
    <w:p w14:paraId="4D3B9CFB" w14:textId="77777777" w:rsidR="00C723EE" w:rsidRPr="00A23834" w:rsidRDefault="00C723EE" w:rsidP="00C723EE">
      <w:pPr>
        <w:pStyle w:val="ListParagraph"/>
        <w:snapToGrid w:val="0"/>
        <w:spacing w:line="240" w:lineRule="exact"/>
        <w:ind w:leftChars="0" w:left="482"/>
        <w:jc w:val="both"/>
        <w:rPr>
          <w:rFonts w:ascii="Tahoma" w:eastAsia="標楷體" w:hAnsi="Tahoma" w:cs="Tahoma"/>
          <w:sz w:val="20"/>
          <w:szCs w:val="20"/>
        </w:rPr>
      </w:pPr>
    </w:p>
    <w:p w14:paraId="5E80EB18" w14:textId="03023250" w:rsidR="00E7750F" w:rsidRDefault="00E7750F"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The bank shall ensure compliance with the requests of the Competent Authority to provide relevant information and</w:t>
      </w:r>
    </w:p>
    <w:p w14:paraId="0650D479" w14:textId="77777777" w:rsidR="00C723EE" w:rsidRPr="00C723EE" w:rsidRDefault="00C723EE" w:rsidP="00C723EE">
      <w:pPr>
        <w:snapToGrid w:val="0"/>
        <w:spacing w:line="240" w:lineRule="exact"/>
        <w:jc w:val="both"/>
        <w:rPr>
          <w:rFonts w:ascii="Tahoma" w:eastAsia="標楷體" w:hAnsi="Tahoma" w:cs="Tahoma"/>
          <w:sz w:val="20"/>
          <w:szCs w:val="20"/>
        </w:rPr>
      </w:pPr>
    </w:p>
    <w:p w14:paraId="12C7E7BD" w14:textId="1B95817A" w:rsidR="00E7750F" w:rsidRPr="00A23834" w:rsidRDefault="00E7750F"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lang w:eastAsia="zh-HK"/>
        </w:rPr>
        <w:t xml:space="preserve">All the </w:t>
      </w:r>
      <w:r w:rsidRPr="00A23834">
        <w:rPr>
          <w:rFonts w:ascii="Tahoma" w:eastAsia="標楷體" w:hAnsi="Tahoma" w:cs="Tahoma"/>
          <w:sz w:val="20"/>
          <w:szCs w:val="20"/>
        </w:rPr>
        <w:t>related</w:t>
      </w:r>
      <w:r w:rsidRPr="00A23834">
        <w:rPr>
          <w:rFonts w:ascii="Tahoma" w:eastAsia="標楷體" w:hAnsi="Tahoma" w:cs="Tahoma"/>
          <w:sz w:val="20"/>
          <w:szCs w:val="20"/>
          <w:lang w:eastAsia="zh-HK"/>
        </w:rPr>
        <w:t xml:space="preserve"> records of transactions kept by the Bank shall be used to </w:t>
      </w:r>
      <w:r w:rsidRPr="00A23834">
        <w:rPr>
          <w:rFonts w:ascii="Tahoma" w:eastAsia="標楷體" w:hAnsi="Tahoma" w:cs="Tahoma"/>
          <w:sz w:val="20"/>
          <w:szCs w:val="20"/>
        </w:rPr>
        <w:t>reconstruct the individual transaction and as evidence to identify the illegal activities.</w:t>
      </w:r>
    </w:p>
    <w:p w14:paraId="1A120658" w14:textId="6D82D94E" w:rsidR="00621829" w:rsidRPr="00A23834" w:rsidRDefault="00B94DFA"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r w:rsidRPr="00A23834">
        <w:rPr>
          <w:rFonts w:ascii="Tahoma" w:eastAsia="標楷體" w:hAnsi="Tahoma" w:cs="Tahoma"/>
          <w:sz w:val="20"/>
          <w:szCs w:val="20"/>
        </w:rPr>
        <w:t xml:space="preserve"> </w:t>
      </w:r>
      <w:bookmarkStart w:id="56" w:name="_Toc142480940"/>
      <w:bookmarkStart w:id="57" w:name="_Toc142484969"/>
      <w:r w:rsidR="00C723EE">
        <w:rPr>
          <w:rFonts w:ascii="Tahoma" w:eastAsia="標楷體" w:hAnsi="Tahoma" w:cs="Tahoma"/>
          <w:sz w:val="20"/>
          <w:szCs w:val="20"/>
        </w:rPr>
        <w:t>AML Supervisor and AMLCO</w:t>
      </w:r>
      <w:bookmarkEnd w:id="56"/>
      <w:bookmarkEnd w:id="57"/>
    </w:p>
    <w:p w14:paraId="408A18CA" w14:textId="77777777" w:rsidR="00621829" w:rsidRPr="00A23834" w:rsidRDefault="00621829" w:rsidP="00677C16">
      <w:pPr>
        <w:pStyle w:val="ListParagraph"/>
        <w:snapToGrid w:val="0"/>
        <w:spacing w:line="240" w:lineRule="exact"/>
        <w:ind w:leftChars="0" w:left="482"/>
        <w:jc w:val="both"/>
        <w:rPr>
          <w:rFonts w:ascii="Tahoma" w:eastAsia="標楷體" w:hAnsi="Tahoma" w:cs="Tahoma"/>
          <w:sz w:val="20"/>
          <w:szCs w:val="20"/>
        </w:rPr>
      </w:pPr>
    </w:p>
    <w:p w14:paraId="0CE5C76A" w14:textId="5194E29C" w:rsidR="00490C50" w:rsidRDefault="00AB3338"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 xml:space="preserve">The Bank shall appoint, among the members of the Board of Directors or, where appropriate, of the Management Committee, the person responsible for supervising the implementation of </w:t>
      </w:r>
      <w:r w:rsidRPr="00A23834">
        <w:rPr>
          <w:rFonts w:ascii="Tahoma" w:eastAsia="標楷體" w:hAnsi="Tahoma" w:cs="Tahoma"/>
          <w:sz w:val="20"/>
          <w:szCs w:val="20"/>
          <w:lang w:eastAsia="zh-HK"/>
        </w:rPr>
        <w:t xml:space="preserve">the Guidelines </w:t>
      </w:r>
      <w:r w:rsidRPr="00A23834">
        <w:rPr>
          <w:rFonts w:ascii="Tahoma" w:eastAsia="標楷體" w:hAnsi="Tahoma" w:cs="Tahoma"/>
          <w:sz w:val="20"/>
          <w:szCs w:val="20"/>
        </w:rPr>
        <w:t xml:space="preserve">and compliance with the </w:t>
      </w:r>
      <w:r w:rsidRPr="00A23834">
        <w:rPr>
          <w:rFonts w:ascii="Tahoma" w:eastAsia="標楷體" w:hAnsi="Tahoma" w:cs="Tahoma"/>
          <w:sz w:val="20"/>
          <w:szCs w:val="20"/>
          <w:lang w:eastAsia="zh-HK"/>
        </w:rPr>
        <w:t>provisions of the Belgium AML Law,</w:t>
      </w:r>
      <w:r w:rsidRPr="00A23834">
        <w:rPr>
          <w:rFonts w:ascii="Tahoma" w:eastAsia="標楷體" w:hAnsi="Tahoma" w:cs="Tahoma"/>
          <w:sz w:val="20"/>
          <w:szCs w:val="20"/>
        </w:rPr>
        <w:t xml:space="preserve"> the </w:t>
      </w:r>
      <w:r w:rsidRPr="00A23834">
        <w:rPr>
          <w:rFonts w:ascii="Tahoma" w:eastAsia="標楷體" w:hAnsi="Tahoma" w:cs="Tahoma"/>
          <w:sz w:val="20"/>
          <w:szCs w:val="20"/>
          <w:lang w:eastAsia="zh-HK"/>
        </w:rPr>
        <w:t xml:space="preserve">related </w:t>
      </w:r>
      <w:r w:rsidRPr="00A23834">
        <w:rPr>
          <w:rFonts w:ascii="Tahoma" w:eastAsia="標楷體" w:hAnsi="Tahoma" w:cs="Tahoma"/>
          <w:sz w:val="20"/>
          <w:szCs w:val="20"/>
        </w:rPr>
        <w:t>European Regulations and the restrictive measures referred to the mandatory provisions on financial embargoes.</w:t>
      </w:r>
    </w:p>
    <w:p w14:paraId="57C66AD7" w14:textId="77777777" w:rsidR="00C723EE" w:rsidRPr="00C723EE" w:rsidRDefault="00C723EE" w:rsidP="00C723EE">
      <w:pPr>
        <w:snapToGrid w:val="0"/>
        <w:spacing w:line="240" w:lineRule="exact"/>
        <w:jc w:val="both"/>
        <w:rPr>
          <w:rFonts w:ascii="Tahoma" w:eastAsia="標楷體" w:hAnsi="Tahoma" w:cs="Tahoma"/>
          <w:sz w:val="20"/>
          <w:szCs w:val="20"/>
        </w:rPr>
      </w:pPr>
    </w:p>
    <w:p w14:paraId="661FF2AA" w14:textId="77777777" w:rsidR="00AB3338" w:rsidRPr="00A23834" w:rsidRDefault="00AB3338" w:rsidP="00677C16">
      <w:pPr>
        <w:pStyle w:val="ListParagraph"/>
        <w:snapToGrid w:val="0"/>
        <w:spacing w:line="240" w:lineRule="exact"/>
        <w:ind w:leftChars="0" w:left="482"/>
        <w:jc w:val="both"/>
        <w:rPr>
          <w:rFonts w:ascii="Tahoma" w:eastAsia="標楷體" w:hAnsi="Tahoma" w:cs="Tahoma"/>
          <w:sz w:val="20"/>
          <w:szCs w:val="20"/>
        </w:rPr>
      </w:pPr>
      <w:r w:rsidRPr="00A23834">
        <w:rPr>
          <w:rFonts w:ascii="Tahoma" w:eastAsia="標楷體" w:hAnsi="Tahoma" w:cs="Tahoma"/>
          <w:sz w:val="20"/>
          <w:szCs w:val="20"/>
          <w:lang w:eastAsia="zh-HK"/>
        </w:rPr>
        <w:t xml:space="preserve">The person appointed referred in paragraph 1 is the </w:t>
      </w:r>
      <w:r w:rsidRPr="00A23834">
        <w:rPr>
          <w:rFonts w:ascii="Tahoma" w:eastAsia="標楷體" w:hAnsi="Tahoma" w:cs="Tahoma"/>
          <w:sz w:val="20"/>
          <w:szCs w:val="20"/>
        </w:rPr>
        <w:t>Deputy Managing Director, the supervisor of AML, who supervises the implementation of the issues related to AML/CTF, and performs the self-inspection jobs.</w:t>
      </w:r>
    </w:p>
    <w:p w14:paraId="72AD56B2" w14:textId="77777777" w:rsidR="00621829" w:rsidRPr="00A23834" w:rsidRDefault="00621829" w:rsidP="00677C16">
      <w:pPr>
        <w:snapToGrid w:val="0"/>
        <w:spacing w:line="240" w:lineRule="exact"/>
        <w:jc w:val="both"/>
        <w:rPr>
          <w:rFonts w:ascii="Tahoma" w:eastAsia="標楷體" w:hAnsi="Tahoma" w:cs="Tahoma"/>
          <w:sz w:val="20"/>
          <w:szCs w:val="20"/>
        </w:rPr>
      </w:pPr>
    </w:p>
    <w:p w14:paraId="7EE3DCED" w14:textId="77777777" w:rsidR="00490C50" w:rsidRPr="00A23834" w:rsidRDefault="00371DE8"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Com</w:t>
      </w:r>
      <w:r w:rsidR="00031064" w:rsidRPr="00A23834">
        <w:rPr>
          <w:rFonts w:ascii="Tahoma" w:eastAsia="標楷體" w:hAnsi="Tahoma" w:cs="Tahoma"/>
          <w:sz w:val="20"/>
          <w:szCs w:val="20"/>
        </w:rPr>
        <w:t xml:space="preserve">pliance officer is </w:t>
      </w:r>
      <w:r w:rsidR="00202A8D" w:rsidRPr="00A23834">
        <w:rPr>
          <w:rFonts w:ascii="Tahoma" w:eastAsia="標楷體" w:hAnsi="Tahoma" w:cs="Tahoma"/>
          <w:sz w:val="20"/>
          <w:szCs w:val="20"/>
        </w:rPr>
        <w:t>ap</w:t>
      </w:r>
      <w:r w:rsidR="00031064" w:rsidRPr="00A23834">
        <w:rPr>
          <w:rFonts w:ascii="Tahoma" w:eastAsia="標楷體" w:hAnsi="Tahoma" w:cs="Tahoma"/>
          <w:sz w:val="20"/>
          <w:szCs w:val="20"/>
        </w:rPr>
        <w:t>pointed as the</w:t>
      </w:r>
      <w:r w:rsidRPr="00A23834">
        <w:rPr>
          <w:rFonts w:ascii="Tahoma" w:eastAsia="標楷體" w:hAnsi="Tahoma" w:cs="Tahoma"/>
          <w:sz w:val="20"/>
          <w:szCs w:val="20"/>
        </w:rPr>
        <w:t xml:space="preserve"> AML</w:t>
      </w:r>
      <w:r w:rsidR="000F6387" w:rsidRPr="00A23834">
        <w:rPr>
          <w:rFonts w:ascii="Tahoma" w:eastAsia="標楷體" w:hAnsi="Tahoma" w:cs="Tahoma"/>
          <w:sz w:val="20"/>
          <w:szCs w:val="20"/>
        </w:rPr>
        <w:t>CO</w:t>
      </w:r>
      <w:r w:rsidRPr="00A23834">
        <w:rPr>
          <w:rFonts w:ascii="Tahoma" w:eastAsia="標楷體" w:hAnsi="Tahoma" w:cs="Tahoma"/>
          <w:sz w:val="20"/>
          <w:szCs w:val="20"/>
        </w:rPr>
        <w:t xml:space="preserve"> of the bank. Annually, the compliance officer has to present a report concerning AML of the </w:t>
      </w:r>
      <w:r w:rsidR="002E12B6" w:rsidRPr="00A23834">
        <w:rPr>
          <w:rFonts w:ascii="Tahoma" w:eastAsia="標楷體" w:hAnsi="Tahoma" w:cs="Tahoma"/>
          <w:sz w:val="20"/>
          <w:szCs w:val="20"/>
        </w:rPr>
        <w:t>b</w:t>
      </w:r>
      <w:r w:rsidRPr="00A23834">
        <w:rPr>
          <w:rFonts w:ascii="Tahoma" w:eastAsia="標楷體" w:hAnsi="Tahoma" w:cs="Tahoma"/>
          <w:sz w:val="20"/>
          <w:szCs w:val="20"/>
        </w:rPr>
        <w:t>ank to Managing Committee and then submit</w:t>
      </w:r>
      <w:r w:rsidR="00031064" w:rsidRPr="00A23834">
        <w:rPr>
          <w:rFonts w:ascii="Tahoma" w:eastAsia="標楷體" w:hAnsi="Tahoma" w:cs="Tahoma"/>
          <w:sz w:val="20"/>
          <w:szCs w:val="20"/>
        </w:rPr>
        <w:t xml:space="preserve"> it</w:t>
      </w:r>
      <w:r w:rsidRPr="00A23834">
        <w:rPr>
          <w:rFonts w:ascii="Tahoma" w:eastAsia="標楷體" w:hAnsi="Tahoma" w:cs="Tahoma"/>
          <w:sz w:val="20"/>
          <w:szCs w:val="20"/>
        </w:rPr>
        <w:t xml:space="preserve"> to the Board</w:t>
      </w:r>
      <w:r w:rsidR="00765DF5" w:rsidRPr="00A23834">
        <w:rPr>
          <w:rFonts w:ascii="Tahoma" w:eastAsia="標楷體" w:hAnsi="Tahoma" w:cs="Tahoma"/>
          <w:sz w:val="20"/>
          <w:szCs w:val="20"/>
        </w:rPr>
        <w:t xml:space="preserve"> of Directors</w:t>
      </w:r>
      <w:r w:rsidRPr="00A23834">
        <w:rPr>
          <w:rFonts w:ascii="Tahoma" w:eastAsia="標楷體" w:hAnsi="Tahoma" w:cs="Tahoma"/>
          <w:sz w:val="20"/>
          <w:szCs w:val="20"/>
        </w:rPr>
        <w:t xml:space="preserve"> for approval. The report also has to </w:t>
      </w:r>
      <w:r w:rsidR="00765DF5" w:rsidRPr="00A23834">
        <w:rPr>
          <w:rFonts w:ascii="Tahoma" w:eastAsia="標楷體" w:hAnsi="Tahoma" w:cs="Tahoma"/>
          <w:sz w:val="20"/>
          <w:szCs w:val="20"/>
        </w:rPr>
        <w:t xml:space="preserve">be </w:t>
      </w:r>
      <w:r w:rsidRPr="00A23834">
        <w:rPr>
          <w:rFonts w:ascii="Tahoma" w:eastAsia="標楷體" w:hAnsi="Tahoma" w:cs="Tahoma"/>
          <w:sz w:val="20"/>
          <w:szCs w:val="20"/>
        </w:rPr>
        <w:t>sen</w:t>
      </w:r>
      <w:r w:rsidR="00765DF5" w:rsidRPr="00A23834">
        <w:rPr>
          <w:rFonts w:ascii="Tahoma" w:eastAsia="標楷體" w:hAnsi="Tahoma" w:cs="Tahoma"/>
          <w:sz w:val="20"/>
          <w:szCs w:val="20"/>
        </w:rPr>
        <w:t>t</w:t>
      </w:r>
      <w:r w:rsidRPr="00A23834">
        <w:rPr>
          <w:rFonts w:ascii="Tahoma" w:eastAsia="標楷體" w:hAnsi="Tahoma" w:cs="Tahoma"/>
          <w:sz w:val="20"/>
          <w:szCs w:val="20"/>
        </w:rPr>
        <w:t xml:space="preserve"> to NBB.</w:t>
      </w:r>
      <w:r w:rsidR="002E12B6" w:rsidRPr="00A23834">
        <w:rPr>
          <w:rFonts w:ascii="Tahoma" w:eastAsia="標楷體" w:hAnsi="Tahoma" w:cs="Tahoma"/>
          <w:sz w:val="20"/>
          <w:szCs w:val="20"/>
        </w:rPr>
        <w:t xml:space="preserve"> </w:t>
      </w:r>
    </w:p>
    <w:p w14:paraId="069F7074" w14:textId="77777777" w:rsidR="00621829" w:rsidRPr="00A23834" w:rsidRDefault="00621829" w:rsidP="00677C16">
      <w:pPr>
        <w:pStyle w:val="ListParagraph"/>
        <w:snapToGrid w:val="0"/>
        <w:spacing w:line="240" w:lineRule="exact"/>
        <w:ind w:leftChars="0" w:left="482"/>
        <w:jc w:val="both"/>
        <w:rPr>
          <w:rFonts w:ascii="Tahoma" w:eastAsia="標楷體" w:hAnsi="Tahoma" w:cs="Tahoma"/>
          <w:sz w:val="20"/>
          <w:szCs w:val="20"/>
        </w:rPr>
      </w:pPr>
    </w:p>
    <w:p w14:paraId="2DA9CB76" w14:textId="51DBECA9" w:rsidR="007A6A8D" w:rsidRDefault="00C35B5E" w:rsidP="00677C16">
      <w:pPr>
        <w:pStyle w:val="ListParagraph"/>
        <w:snapToGrid w:val="0"/>
        <w:spacing w:line="240" w:lineRule="exact"/>
        <w:ind w:leftChars="0" w:left="482"/>
        <w:jc w:val="both"/>
        <w:rPr>
          <w:rFonts w:ascii="Tahoma" w:eastAsia="標楷體" w:hAnsi="Tahoma" w:cs="Tahoma"/>
          <w:sz w:val="20"/>
          <w:szCs w:val="20"/>
        </w:rPr>
      </w:pPr>
      <w:r w:rsidRPr="00A23834">
        <w:rPr>
          <w:rFonts w:ascii="Tahoma" w:eastAsia="標楷體" w:hAnsi="Tahoma" w:cs="Tahoma"/>
          <w:sz w:val="20"/>
          <w:szCs w:val="20"/>
        </w:rPr>
        <w:t>The report shall enable the senior management to be aware of the evolution of the ML/FT risk is exposed and to ensure the adequacy of the policies, procedures and internal control measures implemented properly.</w:t>
      </w:r>
    </w:p>
    <w:p w14:paraId="60CD872A" w14:textId="77777777" w:rsidR="009248BF" w:rsidRPr="00093CBD" w:rsidRDefault="009248BF" w:rsidP="00677C16">
      <w:pPr>
        <w:pStyle w:val="ListParagraph"/>
        <w:snapToGrid w:val="0"/>
        <w:spacing w:line="240" w:lineRule="exact"/>
        <w:ind w:leftChars="0" w:left="482"/>
        <w:jc w:val="both"/>
        <w:rPr>
          <w:rFonts w:ascii="Tahoma" w:eastAsia="標楷體" w:hAnsi="Tahoma" w:cs="Tahoma"/>
          <w:sz w:val="20"/>
          <w:szCs w:val="20"/>
        </w:rPr>
      </w:pPr>
    </w:p>
    <w:p w14:paraId="1FCEAC39" w14:textId="589EBF12" w:rsidR="009248BF" w:rsidRPr="00093CBD" w:rsidRDefault="000B1736" w:rsidP="009248BF">
      <w:pPr>
        <w:pStyle w:val="ListParagraph"/>
        <w:numPr>
          <w:ilvl w:val="1"/>
          <w:numId w:val="5"/>
        </w:numPr>
        <w:snapToGrid w:val="0"/>
        <w:spacing w:line="240" w:lineRule="exact"/>
        <w:ind w:leftChars="0"/>
        <w:jc w:val="both"/>
        <w:rPr>
          <w:rFonts w:ascii="Tahoma" w:eastAsia="標楷體" w:hAnsi="Tahoma" w:cs="Tahoma"/>
          <w:sz w:val="20"/>
          <w:szCs w:val="20"/>
        </w:rPr>
      </w:pPr>
      <w:r w:rsidRPr="00093CBD">
        <w:rPr>
          <w:rFonts w:ascii="Tahoma" w:eastAsia="標楷體" w:hAnsi="Tahoma" w:cs="Tahoma"/>
          <w:sz w:val="20"/>
          <w:szCs w:val="20"/>
        </w:rPr>
        <w:t xml:space="preserve">A </w:t>
      </w:r>
      <w:r w:rsidR="009248BF" w:rsidRPr="00093CBD">
        <w:rPr>
          <w:rFonts w:ascii="Tahoma" w:eastAsia="標楷體" w:hAnsi="Tahoma" w:cs="Tahoma"/>
          <w:sz w:val="20"/>
          <w:szCs w:val="20"/>
        </w:rPr>
        <w:t xml:space="preserve">full description of the statute/tasks of the AML Supervisor and the AMLCO, as well as to the AML responsibilities of the Board and the MC </w:t>
      </w:r>
      <w:r w:rsidRPr="00093CBD">
        <w:rPr>
          <w:rFonts w:ascii="Tahoma" w:eastAsia="標楷體" w:hAnsi="Tahoma" w:cs="Tahoma"/>
          <w:sz w:val="20"/>
          <w:szCs w:val="20"/>
        </w:rPr>
        <w:t xml:space="preserve">is annexed to this guideline </w:t>
      </w:r>
      <w:r w:rsidR="009248BF" w:rsidRPr="00093CBD">
        <w:rPr>
          <w:rFonts w:ascii="Tahoma" w:eastAsia="標楷體" w:hAnsi="Tahoma" w:cs="Tahoma"/>
          <w:sz w:val="20"/>
          <w:szCs w:val="20"/>
        </w:rPr>
        <w:t>according to the latest AML/CFT website of the NBB.</w:t>
      </w:r>
    </w:p>
    <w:p w14:paraId="65EF45FB" w14:textId="67394DB6" w:rsidR="00371DE8" w:rsidRPr="00A23834" w:rsidRDefault="00CF74EE"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bookmarkStart w:id="58" w:name="_Toc142480941"/>
      <w:bookmarkStart w:id="59" w:name="_Toc142484970"/>
      <w:r>
        <w:rPr>
          <w:rFonts w:ascii="Tahoma" w:eastAsia="標楷體" w:hAnsi="Tahoma" w:cs="Tahoma"/>
          <w:sz w:val="20"/>
          <w:szCs w:val="20"/>
        </w:rPr>
        <w:t>Employment and Training</w:t>
      </w:r>
      <w:bookmarkEnd w:id="58"/>
      <w:bookmarkEnd w:id="59"/>
    </w:p>
    <w:p w14:paraId="275C9F67" w14:textId="77777777" w:rsidR="00621829" w:rsidRPr="00A23834" w:rsidRDefault="00621829" w:rsidP="00677C16">
      <w:pPr>
        <w:pStyle w:val="ListParagraph"/>
        <w:snapToGrid w:val="0"/>
        <w:spacing w:line="240" w:lineRule="exact"/>
        <w:ind w:leftChars="0" w:left="482"/>
        <w:jc w:val="both"/>
        <w:rPr>
          <w:rFonts w:ascii="Tahoma" w:eastAsia="標楷體" w:hAnsi="Tahoma" w:cs="Tahoma"/>
          <w:sz w:val="20"/>
          <w:szCs w:val="20"/>
        </w:rPr>
      </w:pPr>
    </w:p>
    <w:p w14:paraId="275BF781" w14:textId="5D150DF3" w:rsidR="00DD3C30" w:rsidRDefault="009011F4"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The bank should</w:t>
      </w:r>
      <w:r w:rsidR="008331B5" w:rsidRPr="00A23834">
        <w:rPr>
          <w:rFonts w:ascii="Tahoma" w:eastAsia="標楷體" w:hAnsi="Tahoma" w:cs="Tahoma"/>
          <w:sz w:val="20"/>
          <w:szCs w:val="20"/>
        </w:rPr>
        <w:t xml:space="preserve"> employ appropriate</w:t>
      </w:r>
      <w:r w:rsidR="00CB423B" w:rsidRPr="00A23834">
        <w:rPr>
          <w:rFonts w:ascii="Tahoma" w:eastAsia="標楷體" w:hAnsi="Tahoma" w:cs="Tahoma"/>
          <w:sz w:val="20"/>
          <w:szCs w:val="20"/>
        </w:rPr>
        <w:t xml:space="preserve"> personnel</w:t>
      </w:r>
      <w:r w:rsidR="008331B5" w:rsidRPr="00A23834">
        <w:rPr>
          <w:rFonts w:ascii="Tahoma" w:eastAsia="標楷體" w:hAnsi="Tahoma" w:cs="Tahoma"/>
          <w:sz w:val="20"/>
          <w:szCs w:val="20"/>
        </w:rPr>
        <w:t>, in</w:t>
      </w:r>
      <w:r w:rsidR="00CB423B" w:rsidRPr="00A23834">
        <w:rPr>
          <w:rFonts w:ascii="Tahoma" w:eastAsia="標楷體" w:hAnsi="Tahoma" w:cs="Tahoma"/>
          <w:sz w:val="20"/>
          <w:szCs w:val="20"/>
        </w:rPr>
        <w:t>cluding checking if the personnel</w:t>
      </w:r>
      <w:r w:rsidR="00DD3C30" w:rsidRPr="00A23834">
        <w:rPr>
          <w:rFonts w:ascii="Tahoma" w:eastAsia="標楷體" w:hAnsi="Tahoma" w:cs="Tahoma"/>
          <w:sz w:val="20"/>
          <w:szCs w:val="20"/>
        </w:rPr>
        <w:t xml:space="preserve"> has</w:t>
      </w:r>
      <w:r w:rsidR="008331B5" w:rsidRPr="00A23834">
        <w:rPr>
          <w:rFonts w:ascii="Tahoma" w:eastAsia="標楷體" w:hAnsi="Tahoma" w:cs="Tahoma"/>
          <w:sz w:val="20"/>
          <w:szCs w:val="20"/>
        </w:rPr>
        <w:t xml:space="preserve"> </w:t>
      </w:r>
      <w:r w:rsidR="00DD3C30" w:rsidRPr="00A23834">
        <w:rPr>
          <w:rFonts w:ascii="Tahoma" w:eastAsia="標楷體" w:hAnsi="Tahoma" w:cs="Tahoma"/>
          <w:sz w:val="20"/>
          <w:szCs w:val="20"/>
        </w:rPr>
        <w:t>integrity character and professional knowledge to exercise his/her duty.</w:t>
      </w:r>
    </w:p>
    <w:p w14:paraId="75AFC6CE" w14:textId="77777777" w:rsidR="00037F93" w:rsidRPr="00A23834" w:rsidRDefault="00037F93" w:rsidP="00772D65">
      <w:pPr>
        <w:pStyle w:val="ListParagraph"/>
        <w:snapToGrid w:val="0"/>
        <w:spacing w:line="240" w:lineRule="exact"/>
        <w:ind w:leftChars="0" w:left="482"/>
        <w:jc w:val="both"/>
        <w:rPr>
          <w:rFonts w:ascii="Tahoma" w:eastAsia="標楷體" w:hAnsi="Tahoma" w:cs="Tahoma"/>
          <w:sz w:val="20"/>
          <w:szCs w:val="20"/>
        </w:rPr>
      </w:pPr>
    </w:p>
    <w:p w14:paraId="0E32D57A" w14:textId="77777777" w:rsidR="009410E5" w:rsidRPr="00A23834" w:rsidRDefault="007B43CC"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t>The AML/CFT supervisor</w:t>
      </w:r>
      <w:r w:rsidR="006F4F4E" w:rsidRPr="00A23834">
        <w:rPr>
          <w:rFonts w:ascii="Tahoma" w:eastAsia="標楷體" w:hAnsi="Tahoma" w:cs="Tahoma"/>
          <w:sz w:val="20"/>
          <w:szCs w:val="20"/>
        </w:rPr>
        <w:t xml:space="preserve">, </w:t>
      </w:r>
      <w:r w:rsidRPr="00A23834">
        <w:rPr>
          <w:rFonts w:ascii="Tahoma" w:eastAsia="標楷體" w:hAnsi="Tahoma" w:cs="Tahoma"/>
          <w:sz w:val="20"/>
          <w:szCs w:val="20"/>
        </w:rPr>
        <w:t xml:space="preserve">the AML/CFT compliance officer and personnel shall possess professional knowledge on AML/CFT, be </w:t>
      </w:r>
      <w:r w:rsidR="0084275F" w:rsidRPr="00A23834">
        <w:rPr>
          <w:rFonts w:ascii="Tahoma" w:eastAsia="標楷體" w:hAnsi="Tahoma" w:cs="Tahoma"/>
          <w:sz w:val="20"/>
          <w:szCs w:val="20"/>
        </w:rPr>
        <w:t xml:space="preserve">familiar with </w:t>
      </w:r>
      <w:r w:rsidRPr="00A23834">
        <w:rPr>
          <w:rFonts w:ascii="Tahoma" w:eastAsia="標楷體" w:hAnsi="Tahoma" w:cs="Tahoma"/>
          <w:sz w:val="20"/>
          <w:szCs w:val="20"/>
        </w:rPr>
        <w:t>local regulations, and attend at least 12 hours of training on AML/CFT offered by competent authorities or relevant institutions</w:t>
      </w:r>
      <w:r w:rsidR="0084275F" w:rsidRPr="00A23834">
        <w:rPr>
          <w:rFonts w:ascii="Tahoma" w:eastAsia="標楷體" w:hAnsi="Tahoma" w:cs="Tahoma"/>
          <w:sz w:val="20"/>
          <w:szCs w:val="20"/>
        </w:rPr>
        <w:t xml:space="preserve"> annually</w:t>
      </w:r>
      <w:r w:rsidRPr="00A23834">
        <w:rPr>
          <w:rFonts w:ascii="Tahoma" w:eastAsia="標楷體" w:hAnsi="Tahoma" w:cs="Tahoma"/>
          <w:sz w:val="20"/>
          <w:szCs w:val="20"/>
        </w:rPr>
        <w:t>. If</w:t>
      </w:r>
      <w:r w:rsidR="006F4F4E" w:rsidRPr="00A23834">
        <w:rPr>
          <w:rFonts w:ascii="Tahoma" w:eastAsia="標楷體" w:hAnsi="Tahoma" w:cs="Tahoma"/>
          <w:sz w:val="20"/>
          <w:szCs w:val="20"/>
        </w:rPr>
        <w:t xml:space="preserve"> the </w:t>
      </w:r>
      <w:r w:rsidRPr="00A23834">
        <w:rPr>
          <w:rFonts w:ascii="Tahoma" w:eastAsia="標楷體" w:hAnsi="Tahoma" w:cs="Tahoma"/>
          <w:sz w:val="20"/>
          <w:szCs w:val="20"/>
        </w:rPr>
        <w:t xml:space="preserve">training is </w:t>
      </w:r>
      <w:r w:rsidR="006F4F4E" w:rsidRPr="00A23834">
        <w:rPr>
          <w:rFonts w:ascii="Tahoma" w:eastAsia="標楷體" w:hAnsi="Tahoma" w:cs="Tahoma"/>
          <w:sz w:val="20"/>
          <w:szCs w:val="20"/>
        </w:rPr>
        <w:t xml:space="preserve">not </w:t>
      </w:r>
      <w:r w:rsidRPr="00A23834">
        <w:rPr>
          <w:rFonts w:ascii="Tahoma" w:eastAsia="標楷體" w:hAnsi="Tahoma" w:cs="Tahoma"/>
          <w:sz w:val="20"/>
          <w:szCs w:val="20"/>
        </w:rPr>
        <w:t xml:space="preserve">available, the personnel may attend </w:t>
      </w:r>
      <w:r w:rsidR="006F4F4E" w:rsidRPr="00A23834">
        <w:rPr>
          <w:rFonts w:ascii="Tahoma" w:eastAsia="標楷體" w:hAnsi="Tahoma" w:cs="Tahoma"/>
          <w:sz w:val="20"/>
          <w:szCs w:val="20"/>
        </w:rPr>
        <w:t xml:space="preserve">the </w:t>
      </w:r>
      <w:r w:rsidRPr="00A23834">
        <w:rPr>
          <w:rFonts w:ascii="Tahoma" w:eastAsia="標楷體" w:hAnsi="Tahoma" w:cs="Tahoma"/>
          <w:sz w:val="20"/>
          <w:szCs w:val="20"/>
        </w:rPr>
        <w:t>training courses offered by internal or external training units consented by the chief compliance officer of the parent bank</w:t>
      </w:r>
      <w:r w:rsidR="006F4F4E" w:rsidRPr="00A23834">
        <w:rPr>
          <w:rFonts w:ascii="Tahoma" w:eastAsia="標楷體" w:hAnsi="Tahoma" w:cs="Tahoma"/>
          <w:sz w:val="20"/>
          <w:szCs w:val="20"/>
        </w:rPr>
        <w:t xml:space="preserve">, </w:t>
      </w:r>
      <w:r w:rsidRPr="00A23834">
        <w:rPr>
          <w:rFonts w:ascii="Tahoma" w:eastAsia="標楷體" w:hAnsi="Tahoma" w:cs="Tahoma"/>
          <w:sz w:val="20"/>
          <w:szCs w:val="20"/>
        </w:rPr>
        <w:t>Taiwan Cooperative Bank.</w:t>
      </w:r>
    </w:p>
    <w:p w14:paraId="4F3452FB" w14:textId="77777777" w:rsidR="00CD40C9" w:rsidRPr="00A23834" w:rsidRDefault="00CD40C9" w:rsidP="00677C16">
      <w:pPr>
        <w:pStyle w:val="ListParagraph"/>
        <w:snapToGrid w:val="0"/>
        <w:spacing w:line="240" w:lineRule="exact"/>
        <w:ind w:leftChars="0" w:left="482"/>
        <w:jc w:val="both"/>
        <w:rPr>
          <w:rFonts w:ascii="Tahoma" w:eastAsia="標楷體" w:hAnsi="Tahoma" w:cs="Tahoma"/>
          <w:sz w:val="20"/>
          <w:szCs w:val="20"/>
        </w:rPr>
      </w:pPr>
    </w:p>
    <w:p w14:paraId="256040BA" w14:textId="272950B7" w:rsidR="0073156E" w:rsidRPr="00772D65" w:rsidRDefault="0057730F"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hint="eastAsia"/>
          <w:sz w:val="20"/>
          <w:szCs w:val="20"/>
        </w:rPr>
        <w:t xml:space="preserve">The Bank must provide its new manager and staff with 3 hours </w:t>
      </w:r>
      <w:r w:rsidRPr="00A23834">
        <w:rPr>
          <w:rFonts w:ascii="Tahoma" w:eastAsia="標楷體" w:hAnsi="Tahoma" w:cs="Tahoma"/>
          <w:sz w:val="20"/>
          <w:szCs w:val="20"/>
        </w:rPr>
        <w:t>anti money laundering</w:t>
      </w:r>
      <w:r w:rsidRPr="00A23834">
        <w:rPr>
          <w:rFonts w:ascii="Tahoma" w:eastAsia="標楷體" w:hAnsi="Tahoma" w:cs="Tahoma" w:hint="eastAsia"/>
          <w:sz w:val="20"/>
          <w:szCs w:val="20"/>
        </w:rPr>
        <w:t xml:space="preserve"> and c</w:t>
      </w:r>
      <w:r w:rsidRPr="00A23834">
        <w:rPr>
          <w:rFonts w:ascii="Tahoma" w:eastAsia="標楷體" w:hAnsi="Tahoma" w:cs="Tahoma"/>
          <w:sz w:val="20"/>
          <w:szCs w:val="20"/>
        </w:rPr>
        <w:t xml:space="preserve">ounter </w:t>
      </w:r>
      <w:r w:rsidRPr="00A23834">
        <w:rPr>
          <w:rFonts w:ascii="Tahoma" w:eastAsia="標楷體" w:hAnsi="Tahoma" w:cs="Tahoma" w:hint="eastAsia"/>
          <w:sz w:val="20"/>
          <w:szCs w:val="20"/>
        </w:rPr>
        <w:t>t</w:t>
      </w:r>
      <w:r w:rsidRPr="00A23834">
        <w:rPr>
          <w:rFonts w:ascii="Tahoma" w:eastAsia="標楷體" w:hAnsi="Tahoma" w:cs="Tahoma"/>
          <w:sz w:val="20"/>
          <w:szCs w:val="20"/>
        </w:rPr>
        <w:t xml:space="preserve">errorism </w:t>
      </w:r>
      <w:r w:rsidR="003B61BB" w:rsidRPr="00A23834">
        <w:rPr>
          <w:rFonts w:ascii="Tahoma" w:eastAsia="標楷體" w:hAnsi="Tahoma" w:cs="Tahoma" w:hint="eastAsia"/>
          <w:sz w:val="20"/>
          <w:szCs w:val="20"/>
        </w:rPr>
        <w:t>f</w:t>
      </w:r>
      <w:r w:rsidRPr="00A23834">
        <w:rPr>
          <w:rFonts w:ascii="Tahoma" w:eastAsia="標楷體" w:hAnsi="Tahoma" w:cs="Tahoma"/>
          <w:sz w:val="20"/>
          <w:szCs w:val="20"/>
        </w:rPr>
        <w:t>inancing</w:t>
      </w:r>
      <w:r w:rsidRPr="00A23834">
        <w:rPr>
          <w:rFonts w:ascii="Tahoma" w:eastAsia="標楷體" w:hAnsi="Tahoma" w:cs="Tahoma" w:hint="eastAsia"/>
          <w:sz w:val="20"/>
          <w:szCs w:val="20"/>
        </w:rPr>
        <w:t xml:space="preserve"> </w:t>
      </w:r>
      <w:r w:rsidR="00C762D0" w:rsidRPr="00A23834">
        <w:rPr>
          <w:rFonts w:ascii="Tahoma" w:eastAsia="標楷體" w:hAnsi="Tahoma" w:cs="Tahoma" w:hint="eastAsia"/>
          <w:sz w:val="20"/>
          <w:szCs w:val="20"/>
        </w:rPr>
        <w:t xml:space="preserve">related </w:t>
      </w:r>
      <w:r w:rsidRPr="00A23834">
        <w:rPr>
          <w:rFonts w:ascii="Tahoma" w:eastAsia="標楷體" w:hAnsi="Tahoma" w:cs="Tahoma" w:hint="eastAsia"/>
          <w:sz w:val="20"/>
          <w:szCs w:val="20"/>
        </w:rPr>
        <w:t>initial training courses</w:t>
      </w:r>
      <w:r w:rsidRPr="00A23834">
        <w:rPr>
          <w:sz w:val="20"/>
          <w:szCs w:val="20"/>
          <w:lang w:eastAsia="zh-HK"/>
        </w:rPr>
        <w:t>.</w:t>
      </w:r>
    </w:p>
    <w:p w14:paraId="332DDA15" w14:textId="77777777" w:rsidR="00037F93" w:rsidRPr="00772D65" w:rsidRDefault="00037F93" w:rsidP="00772D65">
      <w:pPr>
        <w:pStyle w:val="ListParagraph"/>
        <w:rPr>
          <w:rFonts w:ascii="Tahoma" w:eastAsia="標楷體" w:hAnsi="Tahoma" w:cs="Tahoma"/>
          <w:sz w:val="20"/>
          <w:szCs w:val="20"/>
        </w:rPr>
      </w:pPr>
    </w:p>
    <w:p w14:paraId="789FD55E" w14:textId="77777777" w:rsidR="004E0B6A" w:rsidRPr="00A23834" w:rsidRDefault="0073156E" w:rsidP="00677C16">
      <w:pPr>
        <w:pStyle w:val="ListParagraph"/>
        <w:numPr>
          <w:ilvl w:val="1"/>
          <w:numId w:val="5"/>
        </w:numPr>
        <w:snapToGrid w:val="0"/>
        <w:spacing w:line="240" w:lineRule="exact"/>
        <w:ind w:leftChars="0"/>
        <w:jc w:val="both"/>
        <w:rPr>
          <w:rFonts w:ascii="Tahoma" w:eastAsia="標楷體" w:hAnsi="Tahoma" w:cs="Tahoma"/>
          <w:sz w:val="20"/>
          <w:szCs w:val="20"/>
        </w:rPr>
      </w:pPr>
      <w:r w:rsidRPr="00A23834">
        <w:rPr>
          <w:rFonts w:ascii="Tahoma" w:eastAsia="標楷體" w:hAnsi="Tahoma" w:cs="Tahoma"/>
          <w:sz w:val="20"/>
          <w:szCs w:val="20"/>
        </w:rPr>
        <w:lastRenderedPageBreak/>
        <w:t>The bank should hold compliance training for its personnel at least once every six months.</w:t>
      </w:r>
    </w:p>
    <w:p w14:paraId="26C96106" w14:textId="30EEB087" w:rsidR="00664018" w:rsidRPr="00A23834" w:rsidRDefault="00664018"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r w:rsidRPr="00A23834">
        <w:rPr>
          <w:rFonts w:ascii="Tahoma" w:eastAsia="標楷體" w:hAnsi="Tahoma" w:cs="Tahoma"/>
          <w:sz w:val="20"/>
          <w:szCs w:val="20"/>
        </w:rPr>
        <w:t xml:space="preserve"> </w:t>
      </w:r>
      <w:bookmarkStart w:id="60" w:name="_Toc142480942"/>
      <w:bookmarkStart w:id="61" w:name="_Toc142484971"/>
      <w:r w:rsidR="00C723EE">
        <w:rPr>
          <w:rFonts w:ascii="Tahoma" w:eastAsia="標楷體" w:hAnsi="Tahoma" w:cs="Tahoma"/>
          <w:sz w:val="20"/>
          <w:szCs w:val="20"/>
        </w:rPr>
        <w:t>Escalation and Reporting</w:t>
      </w:r>
      <w:bookmarkEnd w:id="60"/>
      <w:bookmarkEnd w:id="61"/>
    </w:p>
    <w:p w14:paraId="169BEFFC" w14:textId="77777777" w:rsidR="00621829" w:rsidRPr="00A23834" w:rsidRDefault="00621829" w:rsidP="00677C16">
      <w:pPr>
        <w:snapToGrid w:val="0"/>
        <w:spacing w:line="240" w:lineRule="exact"/>
        <w:jc w:val="both"/>
        <w:rPr>
          <w:rFonts w:ascii="Tahoma" w:eastAsia="標楷體" w:hAnsi="Tahoma" w:cs="Tahoma"/>
          <w:sz w:val="20"/>
          <w:szCs w:val="20"/>
        </w:rPr>
      </w:pPr>
    </w:p>
    <w:p w14:paraId="775250FD" w14:textId="3C8F6319" w:rsidR="00E46897" w:rsidRPr="00A23834" w:rsidRDefault="00703B9A" w:rsidP="00677C16">
      <w:pPr>
        <w:snapToGrid w:val="0"/>
        <w:spacing w:line="240" w:lineRule="exact"/>
        <w:jc w:val="both"/>
        <w:rPr>
          <w:rFonts w:ascii="Tahoma" w:eastAsia="標楷體" w:hAnsi="Tahoma" w:cs="Tahoma"/>
          <w:sz w:val="20"/>
          <w:szCs w:val="20"/>
        </w:rPr>
      </w:pPr>
      <w:r w:rsidRPr="00A23834">
        <w:rPr>
          <w:rFonts w:ascii="Tahoma" w:eastAsia="標楷體" w:hAnsi="Tahoma" w:cs="Tahoma"/>
          <w:sz w:val="20"/>
          <w:szCs w:val="20"/>
        </w:rPr>
        <w:t>E</w:t>
      </w:r>
      <w:r w:rsidR="00E46897" w:rsidRPr="00A23834">
        <w:rPr>
          <w:rFonts w:ascii="Tahoma" w:eastAsia="標楷體" w:hAnsi="Tahoma" w:cs="Tahoma"/>
          <w:sz w:val="20"/>
          <w:szCs w:val="20"/>
        </w:rPr>
        <w:t>very personnel member who, in the exercise of his</w:t>
      </w:r>
      <w:r w:rsidR="006229C6">
        <w:rPr>
          <w:rFonts w:ascii="Tahoma" w:eastAsia="標楷體" w:hAnsi="Tahoma" w:cs="Tahoma"/>
          <w:sz w:val="20"/>
          <w:szCs w:val="20"/>
        </w:rPr>
        <w:t>/her</w:t>
      </w:r>
      <w:r w:rsidR="00E46897" w:rsidRPr="00A23834">
        <w:rPr>
          <w:rFonts w:ascii="Tahoma" w:eastAsia="標楷體" w:hAnsi="Tahoma" w:cs="Tahoma"/>
          <w:sz w:val="20"/>
          <w:szCs w:val="20"/>
        </w:rPr>
        <w:t xml:space="preserve"> function, </w:t>
      </w:r>
      <w:r w:rsidR="004A598D" w:rsidRPr="00A23834">
        <w:rPr>
          <w:rFonts w:ascii="Tahoma" w:eastAsia="標楷體" w:hAnsi="Tahoma" w:cs="Tahoma"/>
          <w:sz w:val="20"/>
          <w:szCs w:val="20"/>
          <w:lang w:eastAsia="zh-HK"/>
        </w:rPr>
        <w:t>ac</w:t>
      </w:r>
      <w:r w:rsidR="00E46897" w:rsidRPr="00A23834">
        <w:rPr>
          <w:rFonts w:ascii="Tahoma" w:eastAsia="標楷體" w:hAnsi="Tahoma" w:cs="Tahoma"/>
          <w:sz w:val="20"/>
          <w:szCs w:val="20"/>
        </w:rPr>
        <w:t>knowledge</w:t>
      </w:r>
      <w:r w:rsidR="004A598D" w:rsidRPr="00A23834">
        <w:rPr>
          <w:rFonts w:ascii="Tahoma" w:eastAsia="標楷體" w:hAnsi="Tahoma" w:cs="Tahoma"/>
          <w:sz w:val="20"/>
          <w:szCs w:val="20"/>
        </w:rPr>
        <w:t>d</w:t>
      </w:r>
      <w:r w:rsidR="00E46897" w:rsidRPr="00A23834">
        <w:rPr>
          <w:rFonts w:ascii="Tahoma" w:eastAsia="標楷體" w:hAnsi="Tahoma" w:cs="Tahoma"/>
          <w:sz w:val="20"/>
          <w:szCs w:val="20"/>
        </w:rPr>
        <w:t xml:space="preserve"> of non–compliance with the obligations of the Law, has t</w:t>
      </w:r>
      <w:r w:rsidR="00C762D0" w:rsidRPr="00A23834">
        <w:rPr>
          <w:rFonts w:ascii="Tahoma" w:eastAsia="標楷體" w:hAnsi="Tahoma" w:cs="Tahoma" w:hint="eastAsia"/>
          <w:sz w:val="20"/>
          <w:szCs w:val="20"/>
        </w:rPr>
        <w:t>he</w:t>
      </w:r>
      <w:r w:rsidR="00E46897" w:rsidRPr="00A23834">
        <w:rPr>
          <w:rFonts w:ascii="Tahoma" w:eastAsia="標楷體" w:hAnsi="Tahoma" w:cs="Tahoma"/>
          <w:sz w:val="20"/>
          <w:szCs w:val="20"/>
        </w:rPr>
        <w:t xml:space="preserve"> right to immediately inform, on a confidential basis if he chooses so,</w:t>
      </w:r>
      <w:r w:rsidR="00FD1BE8" w:rsidRPr="00A23834">
        <w:rPr>
          <w:rFonts w:ascii="Tahoma" w:eastAsia="標楷體" w:hAnsi="Tahoma" w:cs="Tahoma"/>
          <w:sz w:val="20"/>
          <w:szCs w:val="20"/>
        </w:rPr>
        <w:t xml:space="preserve"> </w:t>
      </w:r>
      <w:r w:rsidR="00E46897" w:rsidRPr="00A23834">
        <w:rPr>
          <w:rFonts w:ascii="Tahoma" w:eastAsia="標楷體" w:hAnsi="Tahoma" w:cs="Tahoma"/>
          <w:sz w:val="20"/>
          <w:szCs w:val="20"/>
        </w:rPr>
        <w:t>the ALMCO and/or the member of the management responsible for supervising the implementation of the AML Law, without passing via his</w:t>
      </w:r>
      <w:r w:rsidR="006229C6">
        <w:rPr>
          <w:rFonts w:ascii="Tahoma" w:eastAsia="標楷體" w:hAnsi="Tahoma" w:cs="Tahoma"/>
          <w:sz w:val="20"/>
          <w:szCs w:val="20"/>
        </w:rPr>
        <w:t>/her</w:t>
      </w:r>
      <w:r w:rsidR="00E46897" w:rsidRPr="00A23834">
        <w:rPr>
          <w:rFonts w:ascii="Tahoma" w:eastAsia="標楷體" w:hAnsi="Tahoma" w:cs="Tahoma"/>
          <w:sz w:val="20"/>
          <w:szCs w:val="20"/>
        </w:rPr>
        <w:t xml:space="preserve"> hierarchical superiors</w:t>
      </w:r>
      <w:r w:rsidR="007052C1" w:rsidRPr="00A23834">
        <w:rPr>
          <w:rFonts w:ascii="Tahoma" w:eastAsia="標楷體" w:hAnsi="Tahoma" w:cs="Tahoma"/>
          <w:sz w:val="20"/>
          <w:szCs w:val="20"/>
        </w:rPr>
        <w:t>.</w:t>
      </w:r>
      <w:r w:rsidR="00FD1BE8" w:rsidRPr="00A23834">
        <w:rPr>
          <w:rFonts w:ascii="Tahoma" w:eastAsia="標楷體" w:hAnsi="Tahoma" w:cs="Tahoma"/>
          <w:sz w:val="20"/>
          <w:szCs w:val="20"/>
        </w:rPr>
        <w:t xml:space="preserve"> </w:t>
      </w:r>
    </w:p>
    <w:p w14:paraId="2BF9EDD3" w14:textId="77777777" w:rsidR="00621829" w:rsidRPr="00A23834" w:rsidRDefault="00621829" w:rsidP="00677C16">
      <w:pPr>
        <w:snapToGrid w:val="0"/>
        <w:spacing w:line="240" w:lineRule="exact"/>
        <w:jc w:val="both"/>
        <w:rPr>
          <w:rFonts w:ascii="Tahoma" w:eastAsia="標楷體" w:hAnsi="Tahoma" w:cs="Tahoma"/>
          <w:sz w:val="20"/>
          <w:szCs w:val="20"/>
        </w:rPr>
      </w:pPr>
    </w:p>
    <w:p w14:paraId="2E25917E" w14:textId="01E3F3F2" w:rsidR="00E46897" w:rsidRPr="00A23834" w:rsidRDefault="00E46897" w:rsidP="00677C16">
      <w:pPr>
        <w:snapToGrid w:val="0"/>
        <w:spacing w:line="240" w:lineRule="exact"/>
        <w:jc w:val="both"/>
        <w:rPr>
          <w:rFonts w:ascii="Tahoma" w:eastAsia="標楷體" w:hAnsi="Tahoma" w:cs="Tahoma"/>
          <w:sz w:val="20"/>
          <w:szCs w:val="20"/>
        </w:rPr>
      </w:pPr>
      <w:r w:rsidRPr="00A23834">
        <w:rPr>
          <w:rFonts w:ascii="Tahoma" w:eastAsia="標楷體" w:hAnsi="Tahoma" w:cs="Tahoma"/>
          <w:sz w:val="20"/>
          <w:szCs w:val="20"/>
        </w:rPr>
        <w:t>As long as the personnel member is acting in good faith, the personnel member having informed the AMLCO and the AML Officer</w:t>
      </w:r>
      <w:r w:rsidR="00FD1BE8" w:rsidRPr="00A23834">
        <w:rPr>
          <w:rFonts w:ascii="Tahoma" w:eastAsia="標楷體" w:hAnsi="Tahoma" w:cs="Tahoma"/>
          <w:sz w:val="20"/>
          <w:szCs w:val="20"/>
        </w:rPr>
        <w:t xml:space="preserve"> </w:t>
      </w:r>
      <w:r w:rsidRPr="00A23834">
        <w:rPr>
          <w:rFonts w:ascii="Tahoma" w:eastAsia="標楷體" w:hAnsi="Tahoma" w:cs="Tahoma"/>
          <w:sz w:val="20"/>
          <w:szCs w:val="20"/>
        </w:rPr>
        <w:t xml:space="preserve">shall be </w:t>
      </w:r>
      <w:r w:rsidR="00E8009F" w:rsidRPr="00A23834">
        <w:rPr>
          <w:rFonts w:ascii="Tahoma" w:eastAsia="標楷體" w:hAnsi="Tahoma" w:cs="Tahoma"/>
          <w:sz w:val="20"/>
          <w:szCs w:val="20"/>
        </w:rPr>
        <w:t>protected from any threats, any reprisal, or hostile action, and in particular from adverse or discriminatory employment actions.</w:t>
      </w:r>
    </w:p>
    <w:p w14:paraId="724B6071" w14:textId="77777777" w:rsidR="00621829" w:rsidRPr="00A23834" w:rsidRDefault="00621829" w:rsidP="00677C16">
      <w:pPr>
        <w:snapToGrid w:val="0"/>
        <w:spacing w:line="240" w:lineRule="exact"/>
        <w:jc w:val="both"/>
        <w:rPr>
          <w:rFonts w:ascii="Tahoma" w:eastAsia="標楷體" w:hAnsi="Tahoma" w:cs="Tahoma"/>
          <w:sz w:val="20"/>
          <w:szCs w:val="20"/>
        </w:rPr>
      </w:pPr>
    </w:p>
    <w:p w14:paraId="532FBCAB" w14:textId="4A8C7ADA" w:rsidR="00E8009F" w:rsidRPr="00A23834" w:rsidRDefault="00E8009F" w:rsidP="00677C16">
      <w:pPr>
        <w:snapToGrid w:val="0"/>
        <w:spacing w:line="240" w:lineRule="exact"/>
        <w:jc w:val="both"/>
        <w:rPr>
          <w:rFonts w:ascii="Tahoma" w:eastAsia="標楷體" w:hAnsi="Tahoma" w:cs="Tahoma"/>
          <w:sz w:val="20"/>
          <w:szCs w:val="20"/>
        </w:rPr>
      </w:pPr>
      <w:r w:rsidRPr="00A23834">
        <w:rPr>
          <w:rFonts w:ascii="Tahoma" w:eastAsia="標楷體" w:hAnsi="Tahoma" w:cs="Tahoma"/>
          <w:sz w:val="20"/>
          <w:szCs w:val="20"/>
        </w:rPr>
        <w:t>Individuals exposed to threats, retaliatory or hostile acts, or harmful or discriminatory employment measures for reporting a suspicion of money laundering or terrorist financing, internally or to the CTIF</w:t>
      </w:r>
      <w:r w:rsidR="00FB7D51" w:rsidRPr="00A23834">
        <w:rPr>
          <w:rFonts w:ascii="Tahoma" w:eastAsia="標楷體" w:hAnsi="Tahoma" w:cs="Tahoma"/>
          <w:sz w:val="20"/>
          <w:szCs w:val="20"/>
        </w:rPr>
        <w:t xml:space="preserve"> or to the National Bank of Belgium</w:t>
      </w:r>
      <w:r w:rsidRPr="00A23834">
        <w:rPr>
          <w:rFonts w:ascii="Tahoma" w:eastAsia="標楷體" w:hAnsi="Tahoma" w:cs="Tahoma"/>
          <w:sz w:val="20"/>
          <w:szCs w:val="20"/>
        </w:rPr>
        <w:t xml:space="preserve">, have the right to lodge a complaint </w:t>
      </w:r>
      <w:r w:rsidR="00FB7D51" w:rsidRPr="00A23834">
        <w:rPr>
          <w:rFonts w:ascii="Tahoma" w:eastAsia="標楷體" w:hAnsi="Tahoma" w:cs="Tahoma"/>
          <w:sz w:val="20"/>
          <w:szCs w:val="20"/>
        </w:rPr>
        <w:t>with</w:t>
      </w:r>
      <w:r w:rsidRPr="00A23834">
        <w:rPr>
          <w:rFonts w:ascii="Tahoma" w:eastAsia="標楷體" w:hAnsi="Tahoma" w:cs="Tahoma"/>
          <w:sz w:val="20"/>
          <w:szCs w:val="20"/>
        </w:rPr>
        <w:t xml:space="preserve"> the National Bank of Belgium.</w:t>
      </w:r>
    </w:p>
    <w:p w14:paraId="650EF1A6" w14:textId="77777777" w:rsidR="00E8009F" w:rsidRPr="00A23834" w:rsidRDefault="00E8009F" w:rsidP="00677C16">
      <w:pPr>
        <w:snapToGrid w:val="0"/>
        <w:spacing w:line="240" w:lineRule="exact"/>
        <w:jc w:val="both"/>
        <w:rPr>
          <w:rFonts w:ascii="Tahoma" w:eastAsia="標楷體" w:hAnsi="Tahoma" w:cs="Tahoma"/>
          <w:sz w:val="20"/>
          <w:szCs w:val="20"/>
        </w:rPr>
      </w:pPr>
    </w:p>
    <w:p w14:paraId="30F4A682" w14:textId="273F40D2" w:rsidR="00C77CAC" w:rsidRPr="00A23834" w:rsidRDefault="00E46897" w:rsidP="00677C16">
      <w:pPr>
        <w:snapToGrid w:val="0"/>
        <w:spacing w:line="240" w:lineRule="exact"/>
        <w:jc w:val="both"/>
        <w:rPr>
          <w:rFonts w:ascii="Tahoma" w:eastAsia="標楷體" w:hAnsi="Tahoma" w:cs="Tahoma"/>
          <w:sz w:val="20"/>
          <w:szCs w:val="20"/>
          <w:lang w:eastAsia="zh-HK"/>
        </w:rPr>
      </w:pPr>
      <w:r w:rsidRPr="00A23834">
        <w:rPr>
          <w:rFonts w:ascii="Tahoma" w:eastAsia="標楷體" w:hAnsi="Tahoma" w:cs="Tahoma"/>
          <w:sz w:val="20"/>
          <w:szCs w:val="20"/>
        </w:rPr>
        <w:t>Each personnel member has to acknowledge receipt of the policy</w:t>
      </w:r>
      <w:r w:rsidR="001F6641" w:rsidRPr="00A23834">
        <w:rPr>
          <w:rFonts w:ascii="Tahoma" w:eastAsia="標楷體" w:hAnsi="Tahoma" w:cs="Tahoma"/>
          <w:sz w:val="20"/>
          <w:szCs w:val="20"/>
          <w:lang w:eastAsia="zh-HK"/>
        </w:rPr>
        <w:t>.</w:t>
      </w:r>
    </w:p>
    <w:p w14:paraId="40A67F65" w14:textId="77777777" w:rsidR="00C77CAC" w:rsidRPr="00A23834" w:rsidRDefault="00C77CAC" w:rsidP="00677C16">
      <w:pPr>
        <w:snapToGrid w:val="0"/>
        <w:spacing w:line="240" w:lineRule="exact"/>
        <w:jc w:val="both"/>
        <w:rPr>
          <w:rFonts w:ascii="Tahoma" w:eastAsia="標楷體" w:hAnsi="Tahoma" w:cs="Tahoma"/>
          <w:sz w:val="20"/>
          <w:szCs w:val="20"/>
        </w:rPr>
      </w:pPr>
    </w:p>
    <w:p w14:paraId="294CA870" w14:textId="1FABF052" w:rsidR="009410E5" w:rsidRPr="00A23834" w:rsidRDefault="00482DAF" w:rsidP="00E25E8A">
      <w:pPr>
        <w:pStyle w:val="ListParagraph"/>
        <w:numPr>
          <w:ilvl w:val="0"/>
          <w:numId w:val="5"/>
        </w:numPr>
        <w:snapToGrid w:val="0"/>
        <w:spacing w:beforeLines="100" w:before="359" w:line="240" w:lineRule="exact"/>
        <w:ind w:leftChars="0"/>
        <w:jc w:val="both"/>
        <w:outlineLvl w:val="1"/>
        <w:rPr>
          <w:rFonts w:ascii="Tahoma" w:eastAsia="標楷體" w:hAnsi="Tahoma" w:cs="Tahoma"/>
          <w:sz w:val="20"/>
          <w:szCs w:val="20"/>
        </w:rPr>
      </w:pPr>
      <w:bookmarkStart w:id="62" w:name="_Toc142480943"/>
      <w:bookmarkStart w:id="63" w:name="_Toc142484972"/>
      <w:r w:rsidRPr="00A23834">
        <w:rPr>
          <w:rFonts w:ascii="Tahoma" w:eastAsia="標楷體" w:hAnsi="Tahoma" w:cs="Tahoma" w:hint="eastAsia"/>
          <w:sz w:val="20"/>
          <w:szCs w:val="20"/>
        </w:rPr>
        <w:t>Ap</w:t>
      </w:r>
      <w:r w:rsidRPr="00A23834">
        <w:rPr>
          <w:rFonts w:ascii="Tahoma" w:eastAsia="標楷體" w:hAnsi="Tahoma" w:cs="Tahoma"/>
          <w:sz w:val="20"/>
          <w:szCs w:val="20"/>
        </w:rPr>
        <w:t>proval Level</w:t>
      </w:r>
      <w:bookmarkEnd w:id="62"/>
      <w:bookmarkEnd w:id="63"/>
    </w:p>
    <w:p w14:paraId="7CE6988A" w14:textId="77777777" w:rsidR="00621829" w:rsidRPr="00A23834" w:rsidRDefault="00621829" w:rsidP="00677C16">
      <w:pPr>
        <w:snapToGrid w:val="0"/>
        <w:spacing w:line="240" w:lineRule="exact"/>
        <w:jc w:val="both"/>
        <w:rPr>
          <w:rFonts w:ascii="Tahoma" w:eastAsia="標楷體" w:hAnsi="Tahoma" w:cs="Tahoma"/>
          <w:sz w:val="20"/>
          <w:szCs w:val="20"/>
        </w:rPr>
      </w:pPr>
    </w:p>
    <w:p w14:paraId="3576EDC1" w14:textId="77777777" w:rsidR="009410E5" w:rsidRDefault="00371DE8" w:rsidP="00677C16">
      <w:pPr>
        <w:snapToGrid w:val="0"/>
        <w:spacing w:line="240" w:lineRule="exact"/>
        <w:jc w:val="both"/>
        <w:rPr>
          <w:rFonts w:ascii="Tahoma" w:eastAsia="標楷體" w:hAnsi="Tahoma" w:cs="Tahoma"/>
          <w:sz w:val="20"/>
          <w:szCs w:val="20"/>
        </w:rPr>
      </w:pPr>
      <w:r w:rsidRPr="00A23834">
        <w:rPr>
          <w:rFonts w:ascii="Tahoma" w:eastAsia="標楷體" w:hAnsi="Tahoma" w:cs="Tahoma"/>
          <w:sz w:val="20"/>
          <w:szCs w:val="20"/>
        </w:rPr>
        <w:t>This Guideline</w:t>
      </w:r>
      <w:r w:rsidR="00664018" w:rsidRPr="00A23834">
        <w:rPr>
          <w:rFonts w:ascii="Tahoma" w:eastAsia="標楷體" w:hAnsi="Tahoma" w:cs="Tahoma"/>
          <w:sz w:val="20"/>
          <w:szCs w:val="20"/>
        </w:rPr>
        <w:t>s</w:t>
      </w:r>
      <w:r w:rsidRPr="00A23834">
        <w:rPr>
          <w:rFonts w:ascii="Tahoma" w:eastAsia="標楷體" w:hAnsi="Tahoma" w:cs="Tahoma"/>
          <w:sz w:val="20"/>
          <w:szCs w:val="20"/>
        </w:rPr>
        <w:t xml:space="preserve"> and any amendments hereto, shall come into in force after adoption by a resolution of the Board of Directors.</w:t>
      </w:r>
    </w:p>
    <w:p w14:paraId="61DB64B0" w14:textId="77777777" w:rsidR="00784507" w:rsidRDefault="00784507" w:rsidP="00677C16">
      <w:pPr>
        <w:snapToGrid w:val="0"/>
        <w:spacing w:line="240" w:lineRule="exact"/>
        <w:jc w:val="both"/>
        <w:rPr>
          <w:rFonts w:ascii="Tahoma" w:eastAsia="標楷體" w:hAnsi="Tahoma" w:cs="Tahoma"/>
          <w:sz w:val="20"/>
          <w:szCs w:val="20"/>
        </w:rPr>
      </w:pPr>
    </w:p>
    <w:p w14:paraId="35A3C51B" w14:textId="77777777" w:rsidR="00784507" w:rsidRDefault="00784507" w:rsidP="00677C16">
      <w:pPr>
        <w:snapToGrid w:val="0"/>
        <w:spacing w:line="240" w:lineRule="exact"/>
        <w:jc w:val="both"/>
        <w:rPr>
          <w:rFonts w:ascii="Tahoma" w:eastAsia="標楷體" w:hAnsi="Tahoma" w:cs="Tahoma"/>
          <w:sz w:val="20"/>
          <w:szCs w:val="20"/>
        </w:rPr>
      </w:pPr>
    </w:p>
    <w:p w14:paraId="6FD837CE" w14:textId="77777777" w:rsidR="00784507" w:rsidRDefault="00784507" w:rsidP="00677C16">
      <w:pPr>
        <w:snapToGrid w:val="0"/>
        <w:spacing w:line="240" w:lineRule="exact"/>
        <w:jc w:val="both"/>
        <w:rPr>
          <w:rFonts w:ascii="Tahoma" w:eastAsia="標楷體" w:hAnsi="Tahoma" w:cs="Tahoma"/>
          <w:sz w:val="20"/>
          <w:szCs w:val="20"/>
        </w:rPr>
      </w:pPr>
    </w:p>
    <w:p w14:paraId="77E3BE76" w14:textId="77777777" w:rsidR="00784507" w:rsidRDefault="00784507" w:rsidP="00677C16">
      <w:pPr>
        <w:snapToGrid w:val="0"/>
        <w:spacing w:line="240" w:lineRule="exact"/>
        <w:jc w:val="both"/>
        <w:rPr>
          <w:rFonts w:ascii="Tahoma" w:eastAsia="標楷體" w:hAnsi="Tahoma" w:cs="Tahoma"/>
          <w:sz w:val="20"/>
          <w:szCs w:val="20"/>
        </w:rPr>
      </w:pPr>
    </w:p>
    <w:p w14:paraId="0AC69F65" w14:textId="77777777" w:rsidR="00784507" w:rsidRDefault="00784507" w:rsidP="00677C16">
      <w:pPr>
        <w:snapToGrid w:val="0"/>
        <w:spacing w:line="240" w:lineRule="exact"/>
        <w:jc w:val="both"/>
        <w:rPr>
          <w:rFonts w:ascii="Tahoma" w:eastAsia="標楷體" w:hAnsi="Tahoma" w:cs="Tahoma"/>
          <w:sz w:val="20"/>
          <w:szCs w:val="20"/>
        </w:rPr>
      </w:pPr>
    </w:p>
    <w:p w14:paraId="512FCDF2" w14:textId="77777777" w:rsidR="00784507" w:rsidRDefault="00784507" w:rsidP="00677C16">
      <w:pPr>
        <w:snapToGrid w:val="0"/>
        <w:spacing w:line="240" w:lineRule="exact"/>
        <w:jc w:val="both"/>
        <w:rPr>
          <w:rFonts w:ascii="Tahoma" w:eastAsia="標楷體" w:hAnsi="Tahoma" w:cs="Tahoma"/>
          <w:sz w:val="20"/>
          <w:szCs w:val="20"/>
        </w:rPr>
      </w:pPr>
    </w:p>
    <w:p w14:paraId="4474ED20" w14:textId="77777777" w:rsidR="00784507" w:rsidRDefault="00784507" w:rsidP="00677C16">
      <w:pPr>
        <w:snapToGrid w:val="0"/>
        <w:spacing w:line="240" w:lineRule="exact"/>
        <w:jc w:val="both"/>
        <w:rPr>
          <w:rFonts w:ascii="Tahoma" w:eastAsia="標楷體" w:hAnsi="Tahoma" w:cs="Tahoma"/>
          <w:sz w:val="20"/>
          <w:szCs w:val="20"/>
        </w:rPr>
      </w:pPr>
    </w:p>
    <w:p w14:paraId="75428799" w14:textId="77777777" w:rsidR="00784507" w:rsidRDefault="00784507" w:rsidP="00677C16">
      <w:pPr>
        <w:snapToGrid w:val="0"/>
        <w:spacing w:line="240" w:lineRule="exact"/>
        <w:jc w:val="both"/>
        <w:rPr>
          <w:rFonts w:ascii="Tahoma" w:eastAsia="標楷體" w:hAnsi="Tahoma" w:cs="Tahoma"/>
          <w:sz w:val="20"/>
          <w:szCs w:val="20"/>
        </w:rPr>
      </w:pPr>
    </w:p>
    <w:p w14:paraId="31E8C464" w14:textId="77777777" w:rsidR="00784507" w:rsidRDefault="00784507" w:rsidP="00677C16">
      <w:pPr>
        <w:snapToGrid w:val="0"/>
        <w:spacing w:line="240" w:lineRule="exact"/>
        <w:jc w:val="both"/>
        <w:rPr>
          <w:rFonts w:ascii="Tahoma" w:eastAsia="標楷體" w:hAnsi="Tahoma" w:cs="Tahoma"/>
          <w:sz w:val="20"/>
          <w:szCs w:val="20"/>
        </w:rPr>
      </w:pPr>
    </w:p>
    <w:p w14:paraId="5600381E" w14:textId="77777777" w:rsidR="00784507" w:rsidRDefault="00784507" w:rsidP="00677C16">
      <w:pPr>
        <w:snapToGrid w:val="0"/>
        <w:spacing w:line="240" w:lineRule="exact"/>
        <w:jc w:val="both"/>
        <w:rPr>
          <w:rFonts w:ascii="Tahoma" w:eastAsia="標楷體" w:hAnsi="Tahoma" w:cs="Tahoma"/>
          <w:sz w:val="20"/>
          <w:szCs w:val="20"/>
        </w:rPr>
      </w:pPr>
    </w:p>
    <w:p w14:paraId="7C37E6C0" w14:textId="77777777" w:rsidR="00784507" w:rsidRDefault="00784507" w:rsidP="00677C16">
      <w:pPr>
        <w:snapToGrid w:val="0"/>
        <w:spacing w:line="240" w:lineRule="exact"/>
        <w:jc w:val="both"/>
        <w:rPr>
          <w:rFonts w:ascii="Tahoma" w:eastAsia="標楷體" w:hAnsi="Tahoma" w:cs="Tahoma"/>
          <w:sz w:val="20"/>
          <w:szCs w:val="20"/>
        </w:rPr>
      </w:pPr>
    </w:p>
    <w:p w14:paraId="11A13CBC" w14:textId="77777777" w:rsidR="00784507" w:rsidRDefault="00784507" w:rsidP="00677C16">
      <w:pPr>
        <w:snapToGrid w:val="0"/>
        <w:spacing w:line="240" w:lineRule="exact"/>
        <w:jc w:val="both"/>
        <w:rPr>
          <w:rFonts w:ascii="Tahoma" w:eastAsia="標楷體" w:hAnsi="Tahoma" w:cs="Tahoma"/>
          <w:sz w:val="20"/>
          <w:szCs w:val="20"/>
        </w:rPr>
      </w:pPr>
    </w:p>
    <w:p w14:paraId="310FA4F0" w14:textId="77777777" w:rsidR="00784507" w:rsidRDefault="00784507" w:rsidP="00677C16">
      <w:pPr>
        <w:snapToGrid w:val="0"/>
        <w:spacing w:line="240" w:lineRule="exact"/>
        <w:jc w:val="both"/>
        <w:rPr>
          <w:rFonts w:ascii="Tahoma" w:eastAsia="標楷體" w:hAnsi="Tahoma" w:cs="Tahoma"/>
          <w:sz w:val="20"/>
          <w:szCs w:val="20"/>
        </w:rPr>
      </w:pPr>
    </w:p>
    <w:p w14:paraId="24547B72" w14:textId="77777777" w:rsidR="00784507" w:rsidRDefault="00784507" w:rsidP="00677C16">
      <w:pPr>
        <w:snapToGrid w:val="0"/>
        <w:spacing w:line="240" w:lineRule="exact"/>
        <w:jc w:val="both"/>
        <w:rPr>
          <w:rFonts w:ascii="Tahoma" w:eastAsia="標楷體" w:hAnsi="Tahoma" w:cs="Tahoma"/>
          <w:sz w:val="20"/>
          <w:szCs w:val="20"/>
        </w:rPr>
      </w:pPr>
    </w:p>
    <w:p w14:paraId="0F018765" w14:textId="77777777" w:rsidR="00784507" w:rsidRDefault="00784507" w:rsidP="00677C16">
      <w:pPr>
        <w:snapToGrid w:val="0"/>
        <w:spacing w:line="240" w:lineRule="exact"/>
        <w:jc w:val="both"/>
        <w:rPr>
          <w:rFonts w:ascii="Tahoma" w:eastAsia="標楷體" w:hAnsi="Tahoma" w:cs="Tahoma"/>
          <w:sz w:val="20"/>
          <w:szCs w:val="20"/>
        </w:rPr>
      </w:pPr>
    </w:p>
    <w:p w14:paraId="37FA3E7C" w14:textId="77777777" w:rsidR="00784507" w:rsidRDefault="00784507" w:rsidP="00677C16">
      <w:pPr>
        <w:snapToGrid w:val="0"/>
        <w:spacing w:line="240" w:lineRule="exact"/>
        <w:jc w:val="both"/>
        <w:rPr>
          <w:rFonts w:ascii="Tahoma" w:eastAsia="標楷體" w:hAnsi="Tahoma" w:cs="Tahoma"/>
          <w:sz w:val="20"/>
          <w:szCs w:val="20"/>
        </w:rPr>
      </w:pPr>
    </w:p>
    <w:p w14:paraId="12379C48" w14:textId="77777777" w:rsidR="00784507" w:rsidRDefault="00784507" w:rsidP="00677C16">
      <w:pPr>
        <w:snapToGrid w:val="0"/>
        <w:spacing w:line="240" w:lineRule="exact"/>
        <w:jc w:val="both"/>
        <w:rPr>
          <w:rFonts w:ascii="Tahoma" w:eastAsia="標楷體" w:hAnsi="Tahoma" w:cs="Tahoma"/>
          <w:sz w:val="20"/>
          <w:szCs w:val="20"/>
        </w:rPr>
      </w:pPr>
    </w:p>
    <w:p w14:paraId="3110A681" w14:textId="77777777" w:rsidR="00784507" w:rsidRDefault="00784507" w:rsidP="00677C16">
      <w:pPr>
        <w:snapToGrid w:val="0"/>
        <w:spacing w:line="240" w:lineRule="exact"/>
        <w:jc w:val="both"/>
        <w:rPr>
          <w:rFonts w:ascii="Tahoma" w:eastAsia="標楷體" w:hAnsi="Tahoma" w:cs="Tahoma"/>
          <w:sz w:val="20"/>
          <w:szCs w:val="20"/>
        </w:rPr>
      </w:pPr>
    </w:p>
    <w:p w14:paraId="66895FDB" w14:textId="77777777" w:rsidR="00784507" w:rsidRDefault="00784507" w:rsidP="00677C16">
      <w:pPr>
        <w:snapToGrid w:val="0"/>
        <w:spacing w:line="240" w:lineRule="exact"/>
        <w:jc w:val="both"/>
        <w:rPr>
          <w:rFonts w:ascii="Tahoma" w:eastAsia="標楷體" w:hAnsi="Tahoma" w:cs="Tahoma"/>
          <w:sz w:val="20"/>
          <w:szCs w:val="20"/>
        </w:rPr>
      </w:pPr>
    </w:p>
    <w:p w14:paraId="11C2FD55" w14:textId="77777777" w:rsidR="00784507" w:rsidRDefault="00784507" w:rsidP="00677C16">
      <w:pPr>
        <w:snapToGrid w:val="0"/>
        <w:spacing w:line="240" w:lineRule="exact"/>
        <w:jc w:val="both"/>
        <w:rPr>
          <w:rFonts w:ascii="Tahoma" w:eastAsia="標楷體" w:hAnsi="Tahoma" w:cs="Tahoma"/>
          <w:sz w:val="20"/>
          <w:szCs w:val="20"/>
        </w:rPr>
      </w:pPr>
    </w:p>
    <w:p w14:paraId="6321D201" w14:textId="77777777" w:rsidR="00784507" w:rsidRDefault="00784507" w:rsidP="00677C16">
      <w:pPr>
        <w:snapToGrid w:val="0"/>
        <w:spacing w:line="240" w:lineRule="exact"/>
        <w:jc w:val="both"/>
        <w:rPr>
          <w:rFonts w:ascii="Tahoma" w:eastAsia="標楷體" w:hAnsi="Tahoma" w:cs="Tahoma"/>
          <w:sz w:val="20"/>
          <w:szCs w:val="20"/>
        </w:rPr>
      </w:pPr>
    </w:p>
    <w:p w14:paraId="5D5C10DD" w14:textId="77777777" w:rsidR="00784507" w:rsidRDefault="00784507" w:rsidP="00677C16">
      <w:pPr>
        <w:snapToGrid w:val="0"/>
        <w:spacing w:line="240" w:lineRule="exact"/>
        <w:jc w:val="both"/>
        <w:rPr>
          <w:rFonts w:ascii="Tahoma" w:eastAsia="標楷體" w:hAnsi="Tahoma" w:cs="Tahoma"/>
          <w:sz w:val="20"/>
          <w:szCs w:val="20"/>
        </w:rPr>
      </w:pPr>
    </w:p>
    <w:p w14:paraId="04651184" w14:textId="77777777" w:rsidR="00784507" w:rsidRDefault="00784507" w:rsidP="00677C16">
      <w:pPr>
        <w:snapToGrid w:val="0"/>
        <w:spacing w:line="240" w:lineRule="exact"/>
        <w:jc w:val="both"/>
        <w:rPr>
          <w:rFonts w:ascii="Tahoma" w:eastAsia="標楷體" w:hAnsi="Tahoma" w:cs="Tahoma"/>
          <w:sz w:val="20"/>
          <w:szCs w:val="20"/>
        </w:rPr>
      </w:pPr>
    </w:p>
    <w:p w14:paraId="05811341" w14:textId="77777777" w:rsidR="00784507" w:rsidRDefault="00784507" w:rsidP="00677C16">
      <w:pPr>
        <w:snapToGrid w:val="0"/>
        <w:spacing w:line="240" w:lineRule="exact"/>
        <w:jc w:val="both"/>
        <w:rPr>
          <w:rFonts w:ascii="Tahoma" w:eastAsia="標楷體" w:hAnsi="Tahoma" w:cs="Tahoma"/>
          <w:sz w:val="20"/>
          <w:szCs w:val="20"/>
        </w:rPr>
      </w:pPr>
    </w:p>
    <w:p w14:paraId="0EFDB752" w14:textId="77777777" w:rsidR="00784507" w:rsidRDefault="00784507" w:rsidP="00677C16">
      <w:pPr>
        <w:snapToGrid w:val="0"/>
        <w:spacing w:line="240" w:lineRule="exact"/>
        <w:jc w:val="both"/>
        <w:rPr>
          <w:rFonts w:ascii="Tahoma" w:eastAsia="標楷體" w:hAnsi="Tahoma" w:cs="Tahoma"/>
          <w:sz w:val="20"/>
          <w:szCs w:val="20"/>
        </w:rPr>
      </w:pPr>
    </w:p>
    <w:p w14:paraId="450BD144" w14:textId="77777777" w:rsidR="00784507" w:rsidRDefault="00784507" w:rsidP="00677C16">
      <w:pPr>
        <w:snapToGrid w:val="0"/>
        <w:spacing w:line="240" w:lineRule="exact"/>
        <w:jc w:val="both"/>
        <w:rPr>
          <w:rFonts w:ascii="Tahoma" w:eastAsia="標楷體" w:hAnsi="Tahoma" w:cs="Tahoma"/>
          <w:sz w:val="20"/>
          <w:szCs w:val="20"/>
        </w:rPr>
      </w:pPr>
    </w:p>
    <w:p w14:paraId="3C93410A" w14:textId="77777777" w:rsidR="00784507" w:rsidRDefault="00784507" w:rsidP="00677C16">
      <w:pPr>
        <w:snapToGrid w:val="0"/>
        <w:spacing w:line="240" w:lineRule="exact"/>
        <w:jc w:val="both"/>
        <w:rPr>
          <w:rFonts w:ascii="Tahoma" w:eastAsia="標楷體" w:hAnsi="Tahoma" w:cs="Tahoma"/>
          <w:sz w:val="20"/>
          <w:szCs w:val="20"/>
        </w:rPr>
      </w:pPr>
    </w:p>
    <w:p w14:paraId="5579D963" w14:textId="77777777" w:rsidR="00784507" w:rsidRDefault="00784507" w:rsidP="00677C16">
      <w:pPr>
        <w:snapToGrid w:val="0"/>
        <w:spacing w:line="240" w:lineRule="exact"/>
        <w:jc w:val="both"/>
        <w:rPr>
          <w:rFonts w:ascii="Tahoma" w:eastAsia="標楷體" w:hAnsi="Tahoma" w:cs="Tahoma"/>
          <w:sz w:val="20"/>
          <w:szCs w:val="20"/>
        </w:rPr>
      </w:pPr>
    </w:p>
    <w:p w14:paraId="0B98878B" w14:textId="77777777" w:rsidR="00784507" w:rsidRDefault="00784507" w:rsidP="00677C16">
      <w:pPr>
        <w:snapToGrid w:val="0"/>
        <w:spacing w:line="240" w:lineRule="exact"/>
        <w:jc w:val="both"/>
        <w:rPr>
          <w:rFonts w:ascii="Tahoma" w:eastAsia="標楷體" w:hAnsi="Tahoma" w:cs="Tahoma"/>
          <w:sz w:val="20"/>
          <w:szCs w:val="20"/>
        </w:rPr>
      </w:pPr>
    </w:p>
    <w:p w14:paraId="5F69F10B" w14:textId="77777777" w:rsidR="00784507" w:rsidRDefault="00784507" w:rsidP="00677C16">
      <w:pPr>
        <w:snapToGrid w:val="0"/>
        <w:spacing w:line="240" w:lineRule="exact"/>
        <w:jc w:val="both"/>
        <w:rPr>
          <w:rFonts w:ascii="Tahoma" w:eastAsia="標楷體" w:hAnsi="Tahoma" w:cs="Tahoma"/>
          <w:sz w:val="20"/>
          <w:szCs w:val="20"/>
        </w:rPr>
      </w:pPr>
    </w:p>
    <w:p w14:paraId="06CDBAC3" w14:textId="77777777" w:rsidR="00784507" w:rsidRDefault="00784507" w:rsidP="00677C16">
      <w:pPr>
        <w:snapToGrid w:val="0"/>
        <w:spacing w:line="240" w:lineRule="exact"/>
        <w:jc w:val="both"/>
        <w:rPr>
          <w:rFonts w:ascii="Tahoma" w:eastAsia="標楷體" w:hAnsi="Tahoma" w:cs="Tahoma"/>
          <w:sz w:val="20"/>
          <w:szCs w:val="20"/>
        </w:rPr>
      </w:pPr>
    </w:p>
    <w:p w14:paraId="32ECB2D2" w14:textId="77777777" w:rsidR="00784507" w:rsidRDefault="00784507" w:rsidP="00677C16">
      <w:pPr>
        <w:snapToGrid w:val="0"/>
        <w:spacing w:line="240" w:lineRule="exact"/>
        <w:jc w:val="both"/>
        <w:rPr>
          <w:rFonts w:ascii="Tahoma" w:eastAsia="標楷體" w:hAnsi="Tahoma" w:cs="Tahoma"/>
          <w:sz w:val="20"/>
          <w:szCs w:val="20"/>
        </w:rPr>
      </w:pPr>
    </w:p>
    <w:p w14:paraId="1A2EB5A7" w14:textId="77777777" w:rsidR="00784507" w:rsidRPr="006A7645" w:rsidRDefault="00784507" w:rsidP="00EE74F6">
      <w:pPr>
        <w:spacing w:line="240" w:lineRule="exact"/>
        <w:outlineLvl w:val="0"/>
        <w:rPr>
          <w:rFonts w:ascii="Tahoma" w:eastAsiaTheme="minorHAnsi" w:hAnsi="Tahoma" w:cs="Tahoma"/>
          <w:b/>
          <w:bCs/>
          <w:szCs w:val="24"/>
          <w:lang w:val="en-GB"/>
        </w:rPr>
      </w:pPr>
      <w:bookmarkStart w:id="64" w:name="_Toc142484973"/>
      <w:r w:rsidRPr="006A7645">
        <w:rPr>
          <w:rFonts w:ascii="Tahoma" w:hAnsi="Tahoma" w:cs="Tahoma"/>
          <w:b/>
          <w:bCs/>
          <w:szCs w:val="24"/>
          <w:lang w:val="en-GB"/>
        </w:rPr>
        <w:lastRenderedPageBreak/>
        <w:t xml:space="preserve">Annex to Article 24 of the </w:t>
      </w:r>
      <w:r w:rsidRPr="006A7645">
        <w:rPr>
          <w:rFonts w:ascii="Tahoma" w:eastAsiaTheme="minorHAnsi" w:hAnsi="Tahoma" w:cs="Tahoma"/>
          <w:b/>
          <w:bCs/>
          <w:szCs w:val="24"/>
          <w:lang w:val="en-GB"/>
        </w:rPr>
        <w:t>Guidelines Governing Anti-Money Laundering and Countering the Financing of Terrorism</w:t>
      </w:r>
      <w:bookmarkEnd w:id="64"/>
    </w:p>
    <w:p w14:paraId="4F1805DB" w14:textId="77777777" w:rsidR="00784507" w:rsidRPr="006A7645" w:rsidRDefault="00784507" w:rsidP="00784507">
      <w:pPr>
        <w:spacing w:line="240" w:lineRule="exact"/>
        <w:rPr>
          <w:rFonts w:ascii="Tahoma" w:eastAsia="標楷體" w:hAnsi="Tahoma" w:cs="Tahoma"/>
          <w:b/>
          <w:bCs/>
          <w:sz w:val="20"/>
          <w:szCs w:val="20"/>
          <w:lang w:val="en-GB"/>
        </w:rPr>
      </w:pPr>
    </w:p>
    <w:p w14:paraId="0CFB8ACF" w14:textId="70F966C1" w:rsidR="00784507" w:rsidRPr="006A7645" w:rsidRDefault="00784507" w:rsidP="00784507">
      <w:pPr>
        <w:spacing w:line="240" w:lineRule="exact"/>
        <w:rPr>
          <w:rStyle w:val="Strong"/>
          <w:rFonts w:ascii="Tahoma" w:hAnsi="Tahoma" w:cs="Tahoma"/>
          <w:sz w:val="20"/>
          <w:szCs w:val="20"/>
          <w:shd w:val="clear" w:color="auto" w:fill="FBEEB8"/>
          <w:lang w:val="en-GB"/>
        </w:rPr>
      </w:pPr>
      <w:r w:rsidRPr="006A7645">
        <w:rPr>
          <w:rFonts w:ascii="Tahoma" w:hAnsi="Tahoma" w:cs="Tahoma"/>
          <w:sz w:val="20"/>
          <w:szCs w:val="20"/>
          <w:lang w:val="en-GB"/>
        </w:rPr>
        <w:t>Description of the statute and the tasks of the Senior Offic</w:t>
      </w:r>
      <w:r w:rsidR="00033D79" w:rsidRPr="006A7645">
        <w:rPr>
          <w:rFonts w:ascii="Tahoma" w:hAnsi="Tahoma" w:cs="Tahoma"/>
          <w:sz w:val="20"/>
          <w:szCs w:val="20"/>
          <w:lang w:val="en-GB"/>
        </w:rPr>
        <w:t>er responsible for AML/</w:t>
      </w:r>
      <w:r w:rsidR="00D97F90" w:rsidRPr="006A7645">
        <w:rPr>
          <w:rFonts w:ascii="Tahoma" w:hAnsi="Tahoma" w:cs="Tahoma"/>
          <w:sz w:val="20"/>
          <w:szCs w:val="20"/>
          <w:lang w:val="en-GB"/>
        </w:rPr>
        <w:t>CFT</w:t>
      </w:r>
      <w:r w:rsidR="007C07AF" w:rsidRPr="006A7645">
        <w:rPr>
          <w:rFonts w:ascii="Tahoma" w:hAnsi="Tahoma" w:cs="Tahoma"/>
          <w:sz w:val="20"/>
          <w:szCs w:val="20"/>
          <w:lang w:val="en-GB"/>
        </w:rPr>
        <w:t>P</w:t>
      </w:r>
      <w:r w:rsidR="00033D79" w:rsidRPr="006A7645">
        <w:rPr>
          <w:rFonts w:ascii="Tahoma" w:hAnsi="Tahoma" w:cs="Tahoma"/>
          <w:sz w:val="20"/>
          <w:szCs w:val="20"/>
          <w:lang w:val="en-GB"/>
        </w:rPr>
        <w:t xml:space="preserve"> (Anti-Money Laundering and Countering the Financing of Terrorism and Proliferation</w:t>
      </w:r>
      <w:r w:rsidRPr="006A7645">
        <w:rPr>
          <w:rFonts w:ascii="Tahoma" w:hAnsi="Tahoma" w:cs="Tahoma"/>
          <w:sz w:val="20"/>
          <w:szCs w:val="20"/>
          <w:lang w:val="en-GB"/>
        </w:rPr>
        <w:t>)</w:t>
      </w:r>
      <w:r w:rsidR="00D97F90" w:rsidRPr="006A7645">
        <w:rPr>
          <w:rFonts w:ascii="Tahoma" w:hAnsi="Tahoma" w:cs="Tahoma"/>
          <w:sz w:val="20"/>
          <w:szCs w:val="20"/>
          <w:lang w:val="en-GB"/>
        </w:rPr>
        <w:t>, the same as AML/CFT,</w:t>
      </w:r>
      <w:r w:rsidRPr="006A7645">
        <w:rPr>
          <w:rFonts w:ascii="Tahoma" w:hAnsi="Tahoma" w:cs="Tahoma"/>
          <w:sz w:val="20"/>
          <w:szCs w:val="20"/>
          <w:lang w:val="en-GB"/>
        </w:rPr>
        <w:t xml:space="preserve"> and of the AMLCO within the bank, as well as of the AML/</w:t>
      </w:r>
      <w:r w:rsidR="00D97F90" w:rsidRPr="006A7645">
        <w:rPr>
          <w:rFonts w:ascii="Tahoma" w:hAnsi="Tahoma" w:cs="Tahoma"/>
          <w:sz w:val="20"/>
          <w:szCs w:val="20"/>
          <w:lang w:val="en-GB"/>
        </w:rPr>
        <w:t>CFT</w:t>
      </w:r>
      <w:r w:rsidRPr="006A7645">
        <w:rPr>
          <w:rFonts w:ascii="Tahoma" w:hAnsi="Tahoma" w:cs="Tahoma"/>
          <w:sz w:val="20"/>
          <w:szCs w:val="20"/>
          <w:lang w:val="en-GB"/>
        </w:rPr>
        <w:t xml:space="preserve"> responsibilities of the Management Committee and the Board of Directors with regard to AML/</w:t>
      </w:r>
      <w:r w:rsidR="00D97F90" w:rsidRPr="006A7645">
        <w:rPr>
          <w:rFonts w:ascii="Tahoma" w:hAnsi="Tahoma" w:cs="Tahoma"/>
          <w:sz w:val="20"/>
          <w:szCs w:val="20"/>
          <w:lang w:val="en-GB"/>
        </w:rPr>
        <w:t>CFT</w:t>
      </w:r>
      <w:r w:rsidRPr="006A7645">
        <w:rPr>
          <w:rFonts w:ascii="Tahoma" w:hAnsi="Tahoma" w:cs="Tahoma"/>
          <w:sz w:val="20"/>
          <w:szCs w:val="20"/>
          <w:lang w:val="en-GB"/>
        </w:rPr>
        <w:t>. This description reflects the NBB requirements as stipulated in the NBB AML websit</w:t>
      </w:r>
      <w:r w:rsidRPr="000B6EAF">
        <w:rPr>
          <w:rFonts w:ascii="Tahoma" w:hAnsi="Tahoma" w:cs="Tahoma"/>
          <w:sz w:val="20"/>
          <w:szCs w:val="20"/>
          <w:lang w:val="en-GB"/>
        </w:rPr>
        <w:t>e (</w:t>
      </w:r>
      <w:hyperlink r:id="rId8" w:tgtFrame="_blank" w:history="1">
        <w:r w:rsidRPr="000B6EAF">
          <w:rPr>
            <w:rStyle w:val="Hyperlink"/>
            <w:rFonts w:ascii="Tahoma" w:hAnsi="Tahoma" w:cs="Tahoma"/>
            <w:b/>
            <w:bCs/>
            <w:color w:val="auto"/>
            <w:sz w:val="20"/>
            <w:szCs w:val="20"/>
            <w:u w:val="none"/>
            <w:shd w:val="clear" w:color="auto" w:fill="FBEEB8"/>
            <w:lang w:val="en-GB"/>
          </w:rPr>
          <w:t xml:space="preserve">AML/CFT </w:t>
        </w:r>
      </w:hyperlink>
      <w:hyperlink r:id="rId9" w:tgtFrame="_blank" w:history="1">
        <w:r w:rsidRPr="000B6EAF">
          <w:rPr>
            <w:rStyle w:val="Hyperlink"/>
            <w:rFonts w:ascii="Tahoma" w:hAnsi="Tahoma" w:cs="Tahoma"/>
            <w:b/>
            <w:bCs/>
            <w:color w:val="auto"/>
            <w:sz w:val="20"/>
            <w:szCs w:val="20"/>
            <w:u w:val="none"/>
            <w:shd w:val="clear" w:color="auto" w:fill="FBEEB8"/>
            <w:lang w:val="en-GB"/>
          </w:rPr>
          <w:t>site</w:t>
        </w:r>
      </w:hyperlink>
      <w:r w:rsidRPr="000B6EAF">
        <w:rPr>
          <w:rStyle w:val="Strong"/>
          <w:rFonts w:ascii="Tahoma" w:hAnsi="Tahoma" w:cs="Tahoma"/>
          <w:sz w:val="20"/>
          <w:szCs w:val="20"/>
          <w:shd w:val="clear" w:color="auto" w:fill="FBEEB8"/>
          <w:lang w:val="en-GB"/>
        </w:rPr>
        <w:t>)</w:t>
      </w:r>
    </w:p>
    <w:p w14:paraId="2908D116" w14:textId="77777777" w:rsidR="00784507" w:rsidRPr="006A7645" w:rsidRDefault="00784507" w:rsidP="00784507">
      <w:pPr>
        <w:spacing w:line="240" w:lineRule="exact"/>
        <w:rPr>
          <w:rFonts w:ascii="Tahoma" w:hAnsi="Tahoma" w:cs="Tahoma"/>
          <w:sz w:val="20"/>
          <w:szCs w:val="20"/>
          <w:lang w:val="en-GB"/>
        </w:rPr>
      </w:pPr>
    </w:p>
    <w:p w14:paraId="524A0113" w14:textId="0180440C" w:rsidR="00784507" w:rsidRPr="006A7645" w:rsidRDefault="00784507" w:rsidP="00B307C4">
      <w:pPr>
        <w:pStyle w:val="ListParagraph"/>
        <w:widowControl/>
        <w:numPr>
          <w:ilvl w:val="0"/>
          <w:numId w:val="37"/>
        </w:numPr>
        <w:spacing w:line="240" w:lineRule="exact"/>
        <w:ind w:leftChars="0" w:left="284" w:hanging="284"/>
        <w:contextualSpacing/>
        <w:rPr>
          <w:rFonts w:ascii="Tahoma" w:hAnsi="Tahoma" w:cs="Tahoma"/>
          <w:b/>
          <w:bCs/>
          <w:sz w:val="20"/>
          <w:szCs w:val="20"/>
          <w:lang w:val="en-GB"/>
        </w:rPr>
      </w:pPr>
      <w:r w:rsidRPr="006A7645">
        <w:rPr>
          <w:rFonts w:ascii="Tahoma" w:hAnsi="Tahoma" w:cs="Tahoma"/>
          <w:b/>
          <w:bCs/>
          <w:sz w:val="20"/>
          <w:szCs w:val="20"/>
          <w:lang w:val="en-GB"/>
        </w:rPr>
        <w:t>Senior Officer responsible for AML/</w:t>
      </w:r>
      <w:r w:rsidR="00D97F90" w:rsidRPr="006A7645">
        <w:rPr>
          <w:rFonts w:ascii="Tahoma" w:hAnsi="Tahoma" w:cs="Tahoma"/>
          <w:b/>
          <w:bCs/>
          <w:sz w:val="20"/>
          <w:szCs w:val="20"/>
          <w:lang w:val="en-GB"/>
        </w:rPr>
        <w:t>CFT</w:t>
      </w:r>
      <w:r w:rsidRPr="006A7645">
        <w:rPr>
          <w:rFonts w:ascii="Tahoma" w:hAnsi="Tahoma" w:cs="Tahoma"/>
          <w:b/>
          <w:bCs/>
          <w:sz w:val="20"/>
          <w:szCs w:val="20"/>
          <w:lang w:val="en-GB"/>
        </w:rPr>
        <w:t xml:space="preserve"> ( AML Supervisor)</w:t>
      </w:r>
    </w:p>
    <w:p w14:paraId="70BDAFCD" w14:textId="77777777" w:rsidR="00B307C4" w:rsidRPr="006A7645" w:rsidRDefault="00B307C4" w:rsidP="00B307C4">
      <w:pPr>
        <w:pStyle w:val="ListParagraph"/>
        <w:widowControl/>
        <w:spacing w:line="240" w:lineRule="exact"/>
        <w:ind w:leftChars="0" w:left="764"/>
        <w:contextualSpacing/>
        <w:rPr>
          <w:rFonts w:ascii="Tahoma" w:hAnsi="Tahoma" w:cs="Tahoma"/>
          <w:b/>
          <w:bCs/>
          <w:sz w:val="20"/>
          <w:szCs w:val="20"/>
          <w:lang w:val="en-GB"/>
        </w:rPr>
      </w:pPr>
    </w:p>
    <w:p w14:paraId="7C1805B3" w14:textId="77777777" w:rsidR="00784507" w:rsidRPr="006A7645" w:rsidRDefault="00784507" w:rsidP="00784507">
      <w:pPr>
        <w:pStyle w:val="ListParagraph"/>
        <w:widowControl/>
        <w:numPr>
          <w:ilvl w:val="0"/>
          <w:numId w:val="36"/>
        </w:numPr>
        <w:spacing w:line="240" w:lineRule="exact"/>
        <w:ind w:leftChars="0" w:left="284" w:hanging="284"/>
        <w:contextualSpacing/>
        <w:rPr>
          <w:rFonts w:ascii="Tahoma" w:hAnsi="Tahoma" w:cs="Tahoma"/>
          <w:sz w:val="20"/>
          <w:szCs w:val="20"/>
          <w:lang w:val="en-GB"/>
        </w:rPr>
      </w:pPr>
      <w:r w:rsidRPr="006A7645">
        <w:rPr>
          <w:rFonts w:ascii="Tahoma" w:hAnsi="Tahoma" w:cs="Tahoma"/>
          <w:sz w:val="20"/>
          <w:szCs w:val="20"/>
          <w:lang w:val="en-GB"/>
        </w:rPr>
        <w:t>Statute</w:t>
      </w:r>
    </w:p>
    <w:p w14:paraId="427E6E6A" w14:textId="77777777" w:rsidR="00B307C4" w:rsidRPr="006A7645" w:rsidRDefault="00B307C4" w:rsidP="00B307C4">
      <w:pPr>
        <w:pStyle w:val="ListParagraph"/>
        <w:widowControl/>
        <w:spacing w:line="240" w:lineRule="exact"/>
        <w:ind w:leftChars="0" w:left="284"/>
        <w:contextualSpacing/>
        <w:rPr>
          <w:rFonts w:ascii="Tahoma" w:hAnsi="Tahoma" w:cs="Tahoma"/>
          <w:sz w:val="20"/>
          <w:szCs w:val="20"/>
          <w:lang w:val="en-GB"/>
        </w:rPr>
      </w:pPr>
    </w:p>
    <w:p w14:paraId="409F8F06" w14:textId="77777777" w:rsidR="00784507" w:rsidRPr="006A7645" w:rsidRDefault="00784507" w:rsidP="00784507">
      <w:pPr>
        <w:pStyle w:val="ListParagraph"/>
        <w:widowControl/>
        <w:numPr>
          <w:ilvl w:val="0"/>
          <w:numId w:val="40"/>
        </w:numPr>
        <w:spacing w:line="240" w:lineRule="exact"/>
        <w:ind w:leftChars="0" w:left="905" w:hanging="425"/>
        <w:contextualSpacing/>
        <w:rPr>
          <w:rFonts w:ascii="Tahoma" w:hAnsi="Tahoma" w:cs="Tahoma"/>
          <w:b/>
          <w:bCs/>
          <w:sz w:val="20"/>
          <w:szCs w:val="20"/>
          <w:lang w:val="en-GB"/>
        </w:rPr>
      </w:pPr>
      <w:r w:rsidRPr="006A7645">
        <w:rPr>
          <w:rFonts w:ascii="Tahoma" w:hAnsi="Tahoma" w:cs="Tahoma"/>
          <w:sz w:val="20"/>
          <w:szCs w:val="20"/>
          <w:lang w:val="en-GB"/>
        </w:rPr>
        <w:t xml:space="preserve">Article 9 §1 of the Anti-Money Laundering Law stipulates that financial institutions should  appoint, among the members of their statutory governing body or, where appropriate, of their senior management, the person responsible, at the highest level, for supervising the implementation of and compliance with the provisions of this Law  </w:t>
      </w:r>
    </w:p>
    <w:p w14:paraId="443EC1B4" w14:textId="320F0C19" w:rsidR="00784507" w:rsidRPr="006A7645" w:rsidRDefault="00784507" w:rsidP="00784507">
      <w:pPr>
        <w:pStyle w:val="ListParagraph"/>
        <w:widowControl/>
        <w:numPr>
          <w:ilvl w:val="0"/>
          <w:numId w:val="40"/>
        </w:numPr>
        <w:spacing w:line="240" w:lineRule="exact"/>
        <w:ind w:leftChars="0" w:left="905" w:hanging="425"/>
        <w:contextualSpacing/>
        <w:rPr>
          <w:rFonts w:ascii="Tahoma" w:hAnsi="Tahoma" w:cs="Tahoma"/>
          <w:b/>
          <w:bCs/>
          <w:sz w:val="20"/>
          <w:szCs w:val="20"/>
          <w:lang w:val="en-GB"/>
        </w:rPr>
      </w:pPr>
      <w:r w:rsidRPr="006A7645">
        <w:rPr>
          <w:rFonts w:ascii="Tahoma" w:hAnsi="Tahoma" w:cs="Tahoma"/>
          <w:sz w:val="20"/>
          <w:szCs w:val="20"/>
          <w:lang w:val="en-GB"/>
        </w:rPr>
        <w:t>Within UTB, the senior officer responsible for AML/</w:t>
      </w:r>
      <w:r w:rsidR="00D97F90" w:rsidRPr="006A7645">
        <w:rPr>
          <w:rFonts w:ascii="Tahoma" w:hAnsi="Tahoma" w:cs="Tahoma"/>
          <w:sz w:val="20"/>
          <w:szCs w:val="20"/>
          <w:lang w:val="en-GB"/>
        </w:rPr>
        <w:t>CFT</w:t>
      </w:r>
      <w:r w:rsidRPr="006A7645">
        <w:rPr>
          <w:rFonts w:ascii="Tahoma" w:hAnsi="Tahoma" w:cs="Tahoma"/>
          <w:sz w:val="20"/>
          <w:szCs w:val="20"/>
          <w:lang w:val="en-GB"/>
        </w:rPr>
        <w:t xml:space="preserve"> is the member of the management committee who is also responsible for compliance. This arrangement is to avoid conflicts of interest with business generating tasks. </w:t>
      </w:r>
    </w:p>
    <w:p w14:paraId="3699FF24" w14:textId="06F4CB6E" w:rsidR="00784507" w:rsidRPr="008F4F95" w:rsidRDefault="00784507" w:rsidP="00784507">
      <w:pPr>
        <w:pStyle w:val="ListParagraph"/>
        <w:widowControl/>
        <w:numPr>
          <w:ilvl w:val="0"/>
          <w:numId w:val="40"/>
        </w:numPr>
        <w:spacing w:line="240" w:lineRule="exact"/>
        <w:ind w:leftChars="0" w:left="905" w:hanging="425"/>
        <w:contextualSpacing/>
        <w:rPr>
          <w:rFonts w:ascii="Tahoma" w:hAnsi="Tahoma" w:cs="Tahoma"/>
          <w:b/>
          <w:bCs/>
          <w:sz w:val="20"/>
          <w:szCs w:val="20"/>
          <w:lang w:val="en-GB"/>
        </w:rPr>
      </w:pPr>
      <w:r w:rsidRPr="006A7645">
        <w:rPr>
          <w:rFonts w:ascii="Tahoma" w:hAnsi="Tahoma" w:cs="Tahoma"/>
          <w:sz w:val="20"/>
          <w:szCs w:val="20"/>
          <w:lang w:val="en-GB"/>
        </w:rPr>
        <w:t>The senior officer responsible for AML/</w:t>
      </w:r>
      <w:r w:rsidR="00D97F90" w:rsidRPr="006A7645">
        <w:rPr>
          <w:rFonts w:ascii="Tahoma" w:hAnsi="Tahoma" w:cs="Tahoma"/>
          <w:sz w:val="20"/>
          <w:szCs w:val="20"/>
          <w:lang w:val="en-GB"/>
        </w:rPr>
        <w:t>CFT</w:t>
      </w:r>
      <w:r w:rsidRPr="006A7645">
        <w:rPr>
          <w:rFonts w:ascii="Tahoma" w:hAnsi="Tahoma" w:cs="Tahoma"/>
          <w:sz w:val="20"/>
          <w:szCs w:val="20"/>
          <w:lang w:val="en-GB"/>
        </w:rPr>
        <w:t xml:space="preserve"> is expected to act with integrity, to possess general AML/</w:t>
      </w:r>
      <w:r w:rsidR="00D97F90" w:rsidRPr="006A7645">
        <w:rPr>
          <w:rFonts w:ascii="Tahoma" w:hAnsi="Tahoma" w:cs="Tahoma"/>
          <w:sz w:val="20"/>
          <w:szCs w:val="20"/>
          <w:lang w:val="en-GB"/>
        </w:rPr>
        <w:t>CFT</w:t>
      </w:r>
      <w:r w:rsidRPr="006A7645">
        <w:rPr>
          <w:rFonts w:ascii="Tahoma" w:hAnsi="Tahoma" w:cs="Tahoma"/>
          <w:sz w:val="20"/>
          <w:szCs w:val="20"/>
          <w:lang w:val="en-GB"/>
        </w:rPr>
        <w:t>-related knowledge so as to be able to critically review the measures taken by the AMLCO, and to ensure compliance with the provisions of the Anti-Money Laundering Law.</w:t>
      </w:r>
    </w:p>
    <w:p w14:paraId="3B83AE77" w14:textId="46B7B55A" w:rsidR="008F4F95" w:rsidRPr="000B6EAF" w:rsidRDefault="00BC0520" w:rsidP="00784507">
      <w:pPr>
        <w:pStyle w:val="ListParagraph"/>
        <w:widowControl/>
        <w:numPr>
          <w:ilvl w:val="0"/>
          <w:numId w:val="40"/>
        </w:numPr>
        <w:spacing w:line="240" w:lineRule="exact"/>
        <w:ind w:leftChars="0" w:left="905" w:hanging="425"/>
        <w:contextualSpacing/>
        <w:rPr>
          <w:rFonts w:ascii="Tahoma" w:hAnsi="Tahoma" w:cs="Tahoma"/>
          <w:sz w:val="20"/>
          <w:szCs w:val="20"/>
          <w:lang w:val="en-GB"/>
        </w:rPr>
      </w:pPr>
      <w:r w:rsidRPr="000B6EAF">
        <w:rPr>
          <w:rFonts w:ascii="Tahoma" w:hAnsi="Tahoma" w:cs="Tahoma" w:hint="eastAsia"/>
          <w:sz w:val="20"/>
          <w:szCs w:val="20"/>
          <w:lang w:val="en-GB"/>
        </w:rPr>
        <w:t xml:space="preserve">Financial institutions shall </w:t>
      </w:r>
      <w:r w:rsidR="008F4F95" w:rsidRPr="000B6EAF">
        <w:rPr>
          <w:rFonts w:ascii="Tahoma" w:hAnsi="Tahoma" w:cs="Tahoma"/>
          <w:sz w:val="20"/>
          <w:szCs w:val="20"/>
          <w:lang w:val="en-GB"/>
        </w:rPr>
        <w:t>verify, in the first instance, the AML/CFTP suitability of the person they are considering to appoint as AML Supervisor</w:t>
      </w:r>
      <w:r w:rsidR="008F4F95" w:rsidRPr="000B6EAF">
        <w:rPr>
          <w:rFonts w:ascii="Tahoma" w:hAnsi="Tahoma" w:cs="Tahoma" w:hint="eastAsia"/>
          <w:sz w:val="20"/>
          <w:szCs w:val="20"/>
          <w:lang w:val="en-GB"/>
        </w:rPr>
        <w:t>.</w:t>
      </w:r>
    </w:p>
    <w:p w14:paraId="4CDDDF5E" w14:textId="77777777" w:rsidR="00784507" w:rsidRPr="006A7645" w:rsidRDefault="00784507" w:rsidP="00784507">
      <w:pPr>
        <w:pStyle w:val="ListParagraph"/>
        <w:widowControl/>
        <w:numPr>
          <w:ilvl w:val="0"/>
          <w:numId w:val="40"/>
        </w:numPr>
        <w:spacing w:line="240" w:lineRule="exact"/>
        <w:ind w:leftChars="0" w:left="905" w:hanging="425"/>
        <w:contextualSpacing/>
        <w:rPr>
          <w:rFonts w:ascii="Tahoma" w:hAnsi="Tahoma" w:cs="Tahoma"/>
          <w:b/>
          <w:bCs/>
          <w:sz w:val="20"/>
          <w:szCs w:val="20"/>
          <w:lang w:val="en-GB"/>
        </w:rPr>
      </w:pPr>
      <w:r w:rsidRPr="006A7645">
        <w:rPr>
          <w:rFonts w:ascii="Tahoma" w:hAnsi="Tahoma" w:cs="Tahoma"/>
          <w:sz w:val="20"/>
          <w:szCs w:val="20"/>
          <w:lang w:val="en-GB"/>
        </w:rPr>
        <w:t>The appointment has to be approved by the NBB after a ”fit &amp; proper“ review.</w:t>
      </w:r>
    </w:p>
    <w:p w14:paraId="76CF0A70" w14:textId="77777777" w:rsidR="00784507" w:rsidRPr="006A7645" w:rsidRDefault="00784507" w:rsidP="00784507">
      <w:pPr>
        <w:pStyle w:val="ListParagraph"/>
        <w:spacing w:line="240" w:lineRule="exact"/>
        <w:ind w:leftChars="0" w:left="567"/>
        <w:rPr>
          <w:rFonts w:ascii="Tahoma" w:hAnsi="Tahoma" w:cs="Tahoma"/>
          <w:b/>
          <w:bCs/>
          <w:sz w:val="20"/>
          <w:szCs w:val="20"/>
          <w:lang w:val="en-GB"/>
        </w:rPr>
      </w:pPr>
    </w:p>
    <w:p w14:paraId="7FD05D19" w14:textId="77777777" w:rsidR="00784507" w:rsidRPr="006A7645" w:rsidRDefault="00784507" w:rsidP="00B307C4">
      <w:pPr>
        <w:pStyle w:val="ListParagraph"/>
        <w:widowControl/>
        <w:numPr>
          <w:ilvl w:val="0"/>
          <w:numId w:val="36"/>
        </w:numPr>
        <w:spacing w:line="240" w:lineRule="exact"/>
        <w:ind w:leftChars="0" w:left="284" w:right="23" w:hanging="284"/>
        <w:contextualSpacing/>
        <w:rPr>
          <w:rFonts w:ascii="Tahoma" w:hAnsi="Tahoma" w:cs="Tahoma"/>
          <w:sz w:val="20"/>
          <w:szCs w:val="20"/>
          <w:lang w:val="en-GB"/>
        </w:rPr>
      </w:pPr>
      <w:r w:rsidRPr="006A7645">
        <w:rPr>
          <w:rFonts w:ascii="Tahoma" w:hAnsi="Tahoma" w:cs="Tahoma"/>
          <w:sz w:val="20"/>
          <w:szCs w:val="20"/>
          <w:lang w:val="en-GB"/>
        </w:rPr>
        <w:t xml:space="preserve">Tasks </w:t>
      </w:r>
    </w:p>
    <w:p w14:paraId="6323ECF1" w14:textId="77777777" w:rsidR="00B307C4" w:rsidRPr="006A7645" w:rsidRDefault="00B307C4" w:rsidP="00B307C4">
      <w:pPr>
        <w:pStyle w:val="ListParagraph"/>
        <w:widowControl/>
        <w:spacing w:line="240" w:lineRule="exact"/>
        <w:ind w:leftChars="0" w:left="764" w:right="23"/>
        <w:contextualSpacing/>
        <w:rPr>
          <w:rFonts w:ascii="Tahoma" w:hAnsi="Tahoma" w:cs="Tahoma"/>
          <w:sz w:val="20"/>
          <w:szCs w:val="20"/>
          <w:lang w:val="en-GB"/>
        </w:rPr>
      </w:pPr>
    </w:p>
    <w:p w14:paraId="7790965E" w14:textId="4FB9C35F" w:rsidR="00784507" w:rsidRPr="006A7645" w:rsidRDefault="00784507" w:rsidP="00784507">
      <w:pPr>
        <w:spacing w:line="240" w:lineRule="exact"/>
        <w:ind w:left="17" w:right="23"/>
        <w:rPr>
          <w:rFonts w:ascii="Tahoma" w:hAnsi="Tahoma" w:cs="Tahoma"/>
          <w:sz w:val="20"/>
          <w:szCs w:val="20"/>
          <w:lang w:val="en-GB"/>
        </w:rPr>
      </w:pPr>
      <w:r w:rsidRPr="006A7645">
        <w:rPr>
          <w:rFonts w:ascii="Tahoma" w:hAnsi="Tahoma" w:cs="Tahoma"/>
          <w:sz w:val="20"/>
          <w:szCs w:val="20"/>
          <w:lang w:val="en-GB"/>
        </w:rPr>
        <w:t>The statutory obligation to appoint a senior officer responsible for AML/</w:t>
      </w:r>
      <w:r w:rsidR="00D97F90" w:rsidRPr="006A7645">
        <w:rPr>
          <w:rFonts w:ascii="Tahoma" w:hAnsi="Tahoma" w:cs="Tahoma"/>
          <w:sz w:val="20"/>
          <w:szCs w:val="20"/>
          <w:lang w:val="en-GB"/>
        </w:rPr>
        <w:t>CFT</w:t>
      </w:r>
      <w:r w:rsidRPr="006A7645">
        <w:rPr>
          <w:rFonts w:ascii="Tahoma" w:hAnsi="Tahoma" w:cs="Tahoma"/>
          <w:sz w:val="20"/>
          <w:szCs w:val="20"/>
          <w:lang w:val="en-GB"/>
        </w:rPr>
        <w:t xml:space="preserve"> is meant to enhance the involvement of the highest hierarchical level of financial institutions in the prevention of ML/FT risk. The NBB therefore expects the senior officer responsible for AML/</w:t>
      </w:r>
      <w:r w:rsidR="00D97F90" w:rsidRPr="006A7645">
        <w:rPr>
          <w:rFonts w:ascii="Tahoma" w:hAnsi="Tahoma" w:cs="Tahoma"/>
          <w:sz w:val="20"/>
          <w:szCs w:val="20"/>
          <w:lang w:val="en-GB"/>
        </w:rPr>
        <w:t>CFT</w:t>
      </w:r>
      <w:r w:rsidRPr="006A7645">
        <w:rPr>
          <w:rFonts w:ascii="Tahoma" w:hAnsi="Tahoma" w:cs="Tahoma"/>
          <w:sz w:val="20"/>
          <w:szCs w:val="20"/>
          <w:lang w:val="en-GB"/>
        </w:rPr>
        <w:t xml:space="preserve"> to raise awareness, among the entire management committee of the importance of such prevention</w:t>
      </w:r>
      <w:r w:rsidR="008F4F95">
        <w:rPr>
          <w:rFonts w:ascii="Tahoma" w:hAnsi="Tahoma" w:cs="Tahoma" w:hint="eastAsia"/>
          <w:sz w:val="20"/>
          <w:szCs w:val="20"/>
          <w:lang w:val="en-GB"/>
        </w:rPr>
        <w:t xml:space="preserve"> </w:t>
      </w:r>
      <w:r w:rsidRPr="006A7645">
        <w:rPr>
          <w:rFonts w:ascii="Tahoma" w:hAnsi="Tahoma" w:cs="Tahoma"/>
          <w:sz w:val="20"/>
          <w:szCs w:val="20"/>
          <w:lang w:val="en-GB"/>
        </w:rPr>
        <w:t>and, in particular, to perform at least the following tasks:</w:t>
      </w:r>
    </w:p>
    <w:p w14:paraId="05F2FFF2" w14:textId="77777777" w:rsidR="00B307C4" w:rsidRPr="006A7645" w:rsidRDefault="00B307C4" w:rsidP="00784507">
      <w:pPr>
        <w:spacing w:line="240" w:lineRule="exact"/>
        <w:ind w:left="17" w:right="23"/>
        <w:rPr>
          <w:rFonts w:ascii="Tahoma" w:hAnsi="Tahoma" w:cs="Tahoma"/>
          <w:sz w:val="20"/>
          <w:szCs w:val="20"/>
          <w:lang w:val="en-GB"/>
        </w:rPr>
      </w:pPr>
    </w:p>
    <w:p w14:paraId="00E591F5" w14:textId="0BC4F926" w:rsidR="00784507" w:rsidRPr="006A7645" w:rsidRDefault="002517AF" w:rsidP="00784507">
      <w:pPr>
        <w:pStyle w:val="ListParagraph"/>
        <w:widowControl/>
        <w:numPr>
          <w:ilvl w:val="0"/>
          <w:numId w:val="39"/>
        </w:numPr>
        <w:spacing w:line="240" w:lineRule="exact"/>
        <w:ind w:leftChars="0" w:left="905" w:right="23" w:hanging="425"/>
        <w:contextualSpacing/>
        <w:rPr>
          <w:rFonts w:ascii="Tahoma" w:hAnsi="Tahoma" w:cs="Tahoma"/>
          <w:sz w:val="20"/>
          <w:szCs w:val="20"/>
          <w:lang w:val="en-GB"/>
        </w:rPr>
      </w:pPr>
      <w:r>
        <w:rPr>
          <w:rFonts w:ascii="Tahoma" w:hAnsi="Tahoma" w:cs="Tahoma"/>
          <w:sz w:val="20"/>
          <w:szCs w:val="20"/>
          <w:lang w:val="en-GB"/>
        </w:rPr>
        <w:t>E</w:t>
      </w:r>
      <w:r w:rsidR="00784507" w:rsidRPr="006A7645">
        <w:rPr>
          <w:rFonts w:ascii="Tahoma" w:hAnsi="Tahoma" w:cs="Tahoma"/>
          <w:sz w:val="20"/>
          <w:szCs w:val="20"/>
          <w:lang w:val="en-GB"/>
        </w:rPr>
        <w:t>nsure that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policies, procedures and internal control measures are adequate and proportionate, taking into account the characteristics of the financial institution and the ML/FT risks facing it. In this respect, the senior officer responsible for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is expected to pay particular attention to (i) the coherence between the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procedures and the more operational procedures for each activity, and (ii) the coherence between the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policy and the policies implemented within the group;</w:t>
      </w:r>
    </w:p>
    <w:p w14:paraId="021D1696" w14:textId="1E96E06D" w:rsidR="00784507" w:rsidRPr="006A7645" w:rsidRDefault="002517AF" w:rsidP="00784507">
      <w:pPr>
        <w:pStyle w:val="ListParagraph"/>
        <w:widowControl/>
        <w:numPr>
          <w:ilvl w:val="0"/>
          <w:numId w:val="39"/>
        </w:numPr>
        <w:spacing w:line="240" w:lineRule="exact"/>
        <w:ind w:leftChars="0" w:left="905" w:right="23" w:hanging="425"/>
        <w:contextualSpacing/>
        <w:rPr>
          <w:rFonts w:ascii="Tahoma" w:hAnsi="Tahoma" w:cs="Tahoma"/>
          <w:sz w:val="20"/>
          <w:szCs w:val="20"/>
          <w:lang w:val="en-GB"/>
        </w:rPr>
      </w:pPr>
      <w:r>
        <w:rPr>
          <w:rFonts w:ascii="Tahoma" w:hAnsi="Tahoma" w:cs="Tahoma"/>
          <w:sz w:val="20"/>
          <w:szCs w:val="20"/>
          <w:lang w:val="en-GB"/>
        </w:rPr>
        <w:t>A</w:t>
      </w:r>
      <w:r w:rsidR="00784507" w:rsidRPr="006A7645">
        <w:rPr>
          <w:rFonts w:ascii="Tahoma" w:hAnsi="Tahoma" w:cs="Tahoma"/>
          <w:sz w:val="20"/>
          <w:szCs w:val="20"/>
          <w:lang w:val="en-GB"/>
        </w:rPr>
        <w:t xml:space="preserve">ssess, together with the management committee, whether the rule to appoint a separate AMLCO can be deviated from on the basis of the principle of proportionality;  </w:t>
      </w:r>
    </w:p>
    <w:p w14:paraId="30F81CE9" w14:textId="1D2C833A" w:rsidR="00784507" w:rsidRPr="006A7645" w:rsidRDefault="002517AF" w:rsidP="00784507">
      <w:pPr>
        <w:pStyle w:val="ListParagraph"/>
        <w:widowControl/>
        <w:numPr>
          <w:ilvl w:val="0"/>
          <w:numId w:val="39"/>
        </w:numPr>
        <w:spacing w:line="240" w:lineRule="exact"/>
        <w:ind w:leftChars="0" w:left="905" w:right="23" w:hanging="425"/>
        <w:contextualSpacing/>
        <w:rPr>
          <w:rFonts w:ascii="Tahoma" w:hAnsi="Tahoma" w:cs="Tahoma"/>
          <w:sz w:val="20"/>
          <w:szCs w:val="20"/>
          <w:lang w:val="en-GB"/>
        </w:rPr>
      </w:pPr>
      <w:r>
        <w:rPr>
          <w:rFonts w:ascii="Tahoma" w:hAnsi="Tahoma" w:cs="Tahoma"/>
          <w:sz w:val="20"/>
          <w:szCs w:val="20"/>
          <w:lang w:val="en-GB"/>
        </w:rPr>
        <w:t>S</w:t>
      </w:r>
      <w:r w:rsidR="00784507" w:rsidRPr="006A7645">
        <w:rPr>
          <w:rFonts w:ascii="Tahoma" w:hAnsi="Tahoma" w:cs="Tahoma"/>
          <w:sz w:val="20"/>
          <w:szCs w:val="20"/>
          <w:lang w:val="en-GB"/>
        </w:rPr>
        <w:t>upport the management committee in assessing whether it is necessary to establish an AML unit to assist the AMLCO in carrying out his/her duties;</w:t>
      </w:r>
    </w:p>
    <w:p w14:paraId="3979E043" w14:textId="21716FA3" w:rsidR="00784507" w:rsidRPr="006A7645" w:rsidRDefault="002517AF" w:rsidP="00784507">
      <w:pPr>
        <w:pStyle w:val="ListParagraph"/>
        <w:widowControl/>
        <w:numPr>
          <w:ilvl w:val="0"/>
          <w:numId w:val="39"/>
        </w:numPr>
        <w:spacing w:line="240" w:lineRule="exact"/>
        <w:ind w:leftChars="0" w:left="905" w:right="23" w:hanging="425"/>
        <w:contextualSpacing/>
        <w:rPr>
          <w:rFonts w:ascii="Tahoma" w:hAnsi="Tahoma" w:cs="Tahoma"/>
          <w:sz w:val="20"/>
          <w:szCs w:val="20"/>
          <w:lang w:val="en-GB"/>
        </w:rPr>
      </w:pPr>
      <w:r>
        <w:rPr>
          <w:rFonts w:ascii="Tahoma" w:hAnsi="Tahoma" w:cs="Tahoma"/>
          <w:sz w:val="20"/>
          <w:szCs w:val="20"/>
          <w:lang w:val="en-GB"/>
        </w:rPr>
        <w:t>E</w:t>
      </w:r>
      <w:r w:rsidR="00784507" w:rsidRPr="006A7645">
        <w:rPr>
          <w:rFonts w:ascii="Tahoma" w:hAnsi="Tahoma" w:cs="Tahoma"/>
          <w:sz w:val="20"/>
          <w:szCs w:val="20"/>
          <w:lang w:val="en-GB"/>
        </w:rPr>
        <w:t>nsure regular reporting to the management committee and to the board of directors on the activities carried out by the AMLCO, and provide them with sufficiently comprehensive and timely information and data on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risks and compliance with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regulations, which is necessary to enable them to perform the role and functions entrusted to them. Such information should also include arrangements between UTB and the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supervisor as well as communication with CTIF-CFI - without prejudice to the confidentiality of reports of suspicious financial transactions - and findings of the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supervisor regarding UTB, including any measures or sanctions imposed;</w:t>
      </w:r>
    </w:p>
    <w:p w14:paraId="139D2BB8" w14:textId="17D477BD" w:rsidR="00784507" w:rsidRPr="006A7645" w:rsidRDefault="002517AF" w:rsidP="00784507">
      <w:pPr>
        <w:pStyle w:val="ListParagraph"/>
        <w:widowControl/>
        <w:numPr>
          <w:ilvl w:val="0"/>
          <w:numId w:val="39"/>
        </w:numPr>
        <w:spacing w:line="240" w:lineRule="exact"/>
        <w:ind w:leftChars="0" w:left="905" w:right="23" w:hanging="425"/>
        <w:contextualSpacing/>
        <w:rPr>
          <w:rFonts w:ascii="Tahoma" w:hAnsi="Tahoma" w:cs="Tahoma"/>
          <w:sz w:val="20"/>
          <w:szCs w:val="20"/>
          <w:lang w:val="en-GB"/>
        </w:rPr>
      </w:pPr>
      <w:r>
        <w:rPr>
          <w:rFonts w:ascii="Tahoma" w:hAnsi="Tahoma" w:cs="Tahoma"/>
          <w:sz w:val="20"/>
          <w:szCs w:val="20"/>
          <w:lang w:val="en-GB"/>
        </w:rPr>
        <w:t>N</w:t>
      </w:r>
      <w:r w:rsidR="00784507" w:rsidRPr="006A7645">
        <w:rPr>
          <w:rFonts w:ascii="Tahoma" w:hAnsi="Tahoma" w:cs="Tahoma"/>
          <w:sz w:val="20"/>
          <w:szCs w:val="20"/>
          <w:lang w:val="en-GB"/>
        </w:rPr>
        <w:t>otify the management committee and the board of directors of serious or significant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problems or violations and recommend measures to remedy them; and</w:t>
      </w:r>
    </w:p>
    <w:p w14:paraId="0FA2E4A6" w14:textId="4D0257FD" w:rsidR="00784507" w:rsidRPr="006A7645" w:rsidRDefault="002517AF" w:rsidP="00784507">
      <w:pPr>
        <w:pStyle w:val="ListParagraph"/>
        <w:widowControl/>
        <w:numPr>
          <w:ilvl w:val="0"/>
          <w:numId w:val="39"/>
        </w:numPr>
        <w:spacing w:line="240" w:lineRule="exact"/>
        <w:ind w:leftChars="0" w:left="905" w:right="23" w:hanging="425"/>
        <w:contextualSpacing/>
        <w:rPr>
          <w:rFonts w:ascii="Tahoma" w:hAnsi="Tahoma" w:cs="Tahoma"/>
          <w:sz w:val="20"/>
          <w:szCs w:val="20"/>
          <w:lang w:val="en-GB"/>
        </w:rPr>
      </w:pPr>
      <w:r>
        <w:rPr>
          <w:rFonts w:ascii="Tahoma" w:hAnsi="Tahoma" w:cs="Tahoma"/>
          <w:sz w:val="20"/>
          <w:szCs w:val="20"/>
          <w:lang w:val="en-GB"/>
        </w:rPr>
        <w:t>E</w:t>
      </w:r>
      <w:r w:rsidR="00784507" w:rsidRPr="006A7645">
        <w:rPr>
          <w:rFonts w:ascii="Tahoma" w:hAnsi="Tahoma" w:cs="Tahoma"/>
          <w:sz w:val="20"/>
          <w:szCs w:val="20"/>
          <w:lang w:val="en-GB"/>
        </w:rPr>
        <w:t xml:space="preserve">nsure that the AMLCO (i) has access to all the information necessary to perform his/her tasks, (ii) has sufficient human and technical resources and tools to be able to adequately </w:t>
      </w:r>
      <w:r w:rsidR="00784507" w:rsidRPr="006A7645">
        <w:rPr>
          <w:rFonts w:ascii="Tahoma" w:hAnsi="Tahoma" w:cs="Tahoma"/>
          <w:sz w:val="20"/>
          <w:szCs w:val="20"/>
          <w:lang w:val="en-GB"/>
        </w:rPr>
        <w:lastRenderedPageBreak/>
        <w:t>perform the tasks assigned to him/her, and (iii) is well-informed of the AML/</w:t>
      </w:r>
      <w:r w:rsidR="00D97F90" w:rsidRPr="006A7645">
        <w:rPr>
          <w:rFonts w:ascii="Tahoma" w:hAnsi="Tahoma" w:cs="Tahoma"/>
          <w:sz w:val="20"/>
          <w:szCs w:val="20"/>
          <w:lang w:val="en-GB"/>
        </w:rPr>
        <w:t>CFT</w:t>
      </w:r>
      <w:r w:rsidR="00784507" w:rsidRPr="006A7645">
        <w:rPr>
          <w:rFonts w:ascii="Tahoma" w:hAnsi="Tahoma" w:cs="Tahoma"/>
          <w:sz w:val="20"/>
          <w:szCs w:val="20"/>
          <w:lang w:val="en-GB"/>
        </w:rPr>
        <w:t>-related incidents brought to light by the internal control systems and of the shortcomings found by the national and foreign supervisory authorities while implementing the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provisions.</w:t>
      </w:r>
    </w:p>
    <w:p w14:paraId="7E8AE51B" w14:textId="77777777" w:rsidR="00B307C4" w:rsidRPr="006A7645" w:rsidRDefault="00B307C4" w:rsidP="00B307C4">
      <w:pPr>
        <w:widowControl/>
        <w:spacing w:line="240" w:lineRule="exact"/>
        <w:ind w:right="23"/>
        <w:contextualSpacing/>
        <w:rPr>
          <w:rFonts w:ascii="Tahoma" w:hAnsi="Tahoma" w:cs="Tahoma"/>
          <w:sz w:val="20"/>
          <w:szCs w:val="20"/>
          <w:lang w:val="en-GB"/>
        </w:rPr>
      </w:pPr>
    </w:p>
    <w:p w14:paraId="772A6D9F" w14:textId="20B1B102" w:rsidR="00784507" w:rsidRPr="006A7645" w:rsidRDefault="00784507" w:rsidP="00784507">
      <w:pPr>
        <w:spacing w:line="240" w:lineRule="exact"/>
        <w:ind w:right="23"/>
        <w:rPr>
          <w:rFonts w:ascii="Tahoma" w:hAnsi="Tahoma" w:cs="Tahoma"/>
          <w:sz w:val="20"/>
          <w:szCs w:val="20"/>
          <w:lang w:val="en-GB"/>
        </w:rPr>
      </w:pPr>
      <w:r w:rsidRPr="006A7645">
        <w:rPr>
          <w:rFonts w:ascii="Tahoma" w:hAnsi="Tahoma" w:cs="Tahoma"/>
          <w:sz w:val="20"/>
          <w:szCs w:val="20"/>
          <w:lang w:val="en-GB"/>
        </w:rPr>
        <w:t>The senior officer responsible for AML/</w:t>
      </w:r>
      <w:r w:rsidR="00D97F90" w:rsidRPr="006A7645">
        <w:rPr>
          <w:rFonts w:ascii="Tahoma" w:hAnsi="Tahoma" w:cs="Tahoma"/>
          <w:sz w:val="20"/>
          <w:szCs w:val="20"/>
          <w:lang w:val="en-GB"/>
        </w:rPr>
        <w:t>CFT</w:t>
      </w:r>
      <w:r w:rsidRPr="006A7645">
        <w:rPr>
          <w:rFonts w:ascii="Tahoma" w:hAnsi="Tahoma" w:cs="Tahoma"/>
          <w:sz w:val="20"/>
          <w:szCs w:val="20"/>
          <w:lang w:val="en-GB"/>
        </w:rPr>
        <w:t xml:space="preserve"> serves as the main point of contact for the AMLCO within management. This person should also ensure that any AML/</w:t>
      </w:r>
      <w:r w:rsidR="00D97F90" w:rsidRPr="006A7645">
        <w:rPr>
          <w:rFonts w:ascii="Tahoma" w:hAnsi="Tahoma" w:cs="Tahoma"/>
          <w:sz w:val="20"/>
          <w:szCs w:val="20"/>
          <w:lang w:val="en-GB"/>
        </w:rPr>
        <w:t>CFT</w:t>
      </w:r>
      <w:r w:rsidRPr="006A7645">
        <w:rPr>
          <w:rFonts w:ascii="Tahoma" w:hAnsi="Tahoma" w:cs="Tahoma"/>
          <w:sz w:val="20"/>
          <w:szCs w:val="20"/>
          <w:lang w:val="en-GB"/>
        </w:rPr>
        <w:t>-related concerns of the AMLCO are properly addressed and, where this is not possible, that they are duly taken into account by the management committee. Where the management committee decides not to follow the AMLCO’s recommendation, such decisions should be duly justified and recorded in the light of the risks and concerns raised by the AMLCO.</w:t>
      </w:r>
    </w:p>
    <w:p w14:paraId="31BC6B3E" w14:textId="77777777" w:rsidR="00784507" w:rsidRPr="006A7645" w:rsidRDefault="00784507" w:rsidP="00784507">
      <w:pPr>
        <w:spacing w:line="240" w:lineRule="exact"/>
        <w:ind w:left="624" w:right="23"/>
        <w:rPr>
          <w:rFonts w:ascii="Tahoma" w:hAnsi="Tahoma" w:cs="Tahoma"/>
          <w:sz w:val="20"/>
          <w:szCs w:val="20"/>
          <w:lang w:val="en-GB"/>
        </w:rPr>
      </w:pPr>
    </w:p>
    <w:p w14:paraId="246AF461" w14:textId="77777777" w:rsidR="00784507" w:rsidRPr="006A7645" w:rsidRDefault="00784507" w:rsidP="00784507">
      <w:pPr>
        <w:pStyle w:val="ListParagraph"/>
        <w:widowControl/>
        <w:numPr>
          <w:ilvl w:val="0"/>
          <w:numId w:val="37"/>
        </w:numPr>
        <w:spacing w:line="240" w:lineRule="exact"/>
        <w:ind w:leftChars="0" w:left="284" w:right="23" w:hanging="284"/>
        <w:contextualSpacing/>
        <w:rPr>
          <w:rFonts w:ascii="Tahoma" w:hAnsi="Tahoma" w:cs="Tahoma"/>
          <w:b/>
          <w:bCs/>
          <w:sz w:val="20"/>
          <w:szCs w:val="20"/>
          <w:lang w:val="en-GB"/>
        </w:rPr>
      </w:pPr>
      <w:r w:rsidRPr="006A7645">
        <w:rPr>
          <w:rFonts w:ascii="Tahoma" w:hAnsi="Tahoma" w:cs="Tahoma"/>
          <w:b/>
          <w:bCs/>
          <w:sz w:val="20"/>
          <w:szCs w:val="20"/>
          <w:lang w:val="en-GB"/>
        </w:rPr>
        <w:t>AMLCO</w:t>
      </w:r>
    </w:p>
    <w:p w14:paraId="14D1E165" w14:textId="77777777" w:rsidR="00B307C4" w:rsidRPr="006A7645" w:rsidRDefault="00B307C4" w:rsidP="00B307C4">
      <w:pPr>
        <w:pStyle w:val="ListParagraph"/>
        <w:widowControl/>
        <w:spacing w:line="240" w:lineRule="exact"/>
        <w:ind w:leftChars="0" w:left="284" w:right="23"/>
        <w:contextualSpacing/>
        <w:rPr>
          <w:rFonts w:ascii="Tahoma" w:hAnsi="Tahoma" w:cs="Tahoma"/>
          <w:b/>
          <w:bCs/>
          <w:sz w:val="20"/>
          <w:szCs w:val="20"/>
          <w:lang w:val="en-GB"/>
        </w:rPr>
      </w:pPr>
    </w:p>
    <w:p w14:paraId="362DF253" w14:textId="77777777" w:rsidR="00784507" w:rsidRPr="006A7645" w:rsidRDefault="00784507" w:rsidP="00784507">
      <w:pPr>
        <w:pStyle w:val="ListParagraph"/>
        <w:widowControl/>
        <w:numPr>
          <w:ilvl w:val="0"/>
          <w:numId w:val="38"/>
        </w:numPr>
        <w:spacing w:line="240" w:lineRule="exact"/>
        <w:ind w:leftChars="0" w:left="284" w:right="23" w:hanging="284"/>
        <w:contextualSpacing/>
        <w:rPr>
          <w:rFonts w:ascii="Tahoma" w:hAnsi="Tahoma" w:cs="Tahoma"/>
          <w:sz w:val="20"/>
          <w:szCs w:val="20"/>
          <w:lang w:val="en-GB"/>
        </w:rPr>
      </w:pPr>
      <w:r w:rsidRPr="006A7645">
        <w:rPr>
          <w:rFonts w:ascii="Tahoma" w:hAnsi="Tahoma" w:cs="Tahoma"/>
          <w:sz w:val="20"/>
          <w:szCs w:val="20"/>
          <w:lang w:val="en-GB"/>
        </w:rPr>
        <w:t>Statute</w:t>
      </w:r>
    </w:p>
    <w:p w14:paraId="57516D7A" w14:textId="77777777" w:rsidR="00B307C4" w:rsidRPr="006A7645" w:rsidRDefault="00B307C4" w:rsidP="00B307C4">
      <w:pPr>
        <w:pStyle w:val="ListParagraph"/>
        <w:widowControl/>
        <w:spacing w:line="240" w:lineRule="exact"/>
        <w:ind w:leftChars="0" w:left="284" w:right="23"/>
        <w:contextualSpacing/>
        <w:rPr>
          <w:rFonts w:ascii="Tahoma" w:hAnsi="Tahoma" w:cs="Tahoma"/>
          <w:sz w:val="20"/>
          <w:szCs w:val="20"/>
          <w:lang w:val="en-GB"/>
        </w:rPr>
      </w:pPr>
    </w:p>
    <w:p w14:paraId="1BB61FC3" w14:textId="74A55094" w:rsidR="00784507" w:rsidRPr="006A7645" w:rsidRDefault="00784507" w:rsidP="00784507">
      <w:pPr>
        <w:pStyle w:val="ListParagraph"/>
        <w:widowControl/>
        <w:numPr>
          <w:ilvl w:val="0"/>
          <w:numId w:val="41"/>
        </w:numPr>
        <w:spacing w:line="240" w:lineRule="exact"/>
        <w:ind w:leftChars="0" w:left="905" w:right="23" w:hanging="425"/>
        <w:contextualSpacing/>
        <w:rPr>
          <w:rFonts w:ascii="Tahoma" w:hAnsi="Tahoma" w:cs="Tahoma"/>
          <w:sz w:val="20"/>
          <w:szCs w:val="20"/>
          <w:lang w:val="en-GB"/>
        </w:rPr>
      </w:pPr>
      <w:r w:rsidRPr="006A7645">
        <w:rPr>
          <w:rFonts w:ascii="Tahoma" w:hAnsi="Tahoma" w:cs="Tahoma"/>
          <w:sz w:val="20"/>
          <w:szCs w:val="20"/>
          <w:lang w:val="en-GB"/>
        </w:rPr>
        <w:t>Article 9 §2 of the Anti-Money Laundering Law stipulates that financial institutions should appoint one or more persons tasked with implementing and steering the AML/</w:t>
      </w:r>
      <w:r w:rsidR="00D97F90" w:rsidRPr="006A7645">
        <w:rPr>
          <w:rFonts w:ascii="Tahoma" w:hAnsi="Tahoma" w:cs="Tahoma"/>
          <w:sz w:val="20"/>
          <w:szCs w:val="20"/>
          <w:lang w:val="en-GB"/>
        </w:rPr>
        <w:t>CFT</w:t>
      </w:r>
      <w:r w:rsidRPr="006A7645">
        <w:rPr>
          <w:rFonts w:ascii="Tahoma" w:hAnsi="Tahoma" w:cs="Tahoma"/>
          <w:sz w:val="20"/>
          <w:szCs w:val="20"/>
          <w:lang w:val="en-GB"/>
        </w:rPr>
        <w:t xml:space="preserve"> policy (“AMLCO”).  </w:t>
      </w:r>
    </w:p>
    <w:p w14:paraId="34ED4BDD" w14:textId="77777777" w:rsidR="00784507" w:rsidRPr="006A7645" w:rsidRDefault="00784507" w:rsidP="00784507">
      <w:pPr>
        <w:pStyle w:val="ListParagraph"/>
        <w:widowControl/>
        <w:numPr>
          <w:ilvl w:val="0"/>
          <w:numId w:val="41"/>
        </w:numPr>
        <w:spacing w:line="240" w:lineRule="exact"/>
        <w:ind w:leftChars="0" w:left="905" w:right="23" w:hanging="425"/>
        <w:contextualSpacing/>
        <w:rPr>
          <w:rFonts w:ascii="Tahoma" w:hAnsi="Tahoma" w:cs="Tahoma"/>
          <w:sz w:val="20"/>
          <w:szCs w:val="20"/>
          <w:lang w:val="en-GB"/>
        </w:rPr>
      </w:pPr>
      <w:r w:rsidRPr="006A7645">
        <w:rPr>
          <w:rFonts w:ascii="Tahoma" w:hAnsi="Tahoma" w:cs="Tahoma"/>
          <w:sz w:val="20"/>
          <w:szCs w:val="20"/>
          <w:lang w:val="en-GB"/>
        </w:rPr>
        <w:t>The third subparagraph of Article 9 §2 of the Anti-Money Laundering Law stipulates that the AMLCO function should be effective, independent and autonomous, and that the person tasked with this function should have:</w:t>
      </w:r>
    </w:p>
    <w:p w14:paraId="47435998" w14:textId="77777777" w:rsidR="006A6FA7" w:rsidRPr="006A7645" w:rsidRDefault="00784507" w:rsidP="006A6FA7">
      <w:pPr>
        <w:pStyle w:val="ListParagraph"/>
        <w:widowControl/>
        <w:numPr>
          <w:ilvl w:val="0"/>
          <w:numId w:val="42"/>
        </w:numPr>
        <w:tabs>
          <w:tab w:val="left" w:pos="1276"/>
        </w:tabs>
        <w:spacing w:line="240" w:lineRule="exact"/>
        <w:ind w:leftChars="0" w:left="764" w:right="23" w:firstLine="229"/>
        <w:contextualSpacing/>
        <w:rPr>
          <w:rFonts w:ascii="Tahoma" w:hAnsi="Tahoma" w:cs="Tahoma"/>
          <w:sz w:val="20"/>
          <w:szCs w:val="20"/>
        </w:rPr>
      </w:pPr>
      <w:r w:rsidRPr="006A7645">
        <w:rPr>
          <w:rFonts w:ascii="Tahoma" w:hAnsi="Tahoma" w:cs="Tahoma"/>
          <w:sz w:val="20"/>
          <w:szCs w:val="20"/>
        </w:rPr>
        <w:t>the professional integrity needed,</w:t>
      </w:r>
    </w:p>
    <w:p w14:paraId="6E0AA7D4" w14:textId="7F02219A" w:rsidR="006A6FA7" w:rsidRPr="006A7645" w:rsidRDefault="00784507" w:rsidP="006A6FA7">
      <w:pPr>
        <w:pStyle w:val="ListParagraph"/>
        <w:widowControl/>
        <w:numPr>
          <w:ilvl w:val="0"/>
          <w:numId w:val="42"/>
        </w:numPr>
        <w:tabs>
          <w:tab w:val="left" w:pos="1276"/>
        </w:tabs>
        <w:spacing w:line="240" w:lineRule="exact"/>
        <w:ind w:leftChars="0" w:left="1276" w:right="23" w:hanging="283"/>
        <w:contextualSpacing/>
        <w:rPr>
          <w:rFonts w:ascii="Tahoma" w:hAnsi="Tahoma" w:cs="Tahoma"/>
          <w:sz w:val="20"/>
          <w:szCs w:val="20"/>
        </w:rPr>
      </w:pPr>
      <w:r w:rsidRPr="006A7645">
        <w:rPr>
          <w:rFonts w:ascii="Tahoma" w:hAnsi="Tahoma" w:cs="Tahoma"/>
          <w:sz w:val="20"/>
          <w:szCs w:val="20"/>
          <w:lang w:val="en-GB"/>
        </w:rPr>
        <w:t>adequate expertise, including knowledge of the Belgian statutory and regulatory</w:t>
      </w:r>
      <w:r w:rsidR="006A6FA7" w:rsidRPr="006A7645">
        <w:rPr>
          <w:rFonts w:ascii="Tahoma" w:hAnsi="Tahoma" w:cs="Tahoma" w:hint="eastAsia"/>
          <w:sz w:val="20"/>
          <w:szCs w:val="20"/>
          <w:lang w:val="en-GB"/>
        </w:rPr>
        <w:t xml:space="preserve"> </w:t>
      </w:r>
      <w:r w:rsidRPr="006A7645">
        <w:rPr>
          <w:rFonts w:ascii="Tahoma" w:hAnsi="Tahoma" w:cs="Tahoma"/>
          <w:sz w:val="20"/>
          <w:szCs w:val="20"/>
          <w:lang w:val="en-GB"/>
        </w:rPr>
        <w:t>AML/</w:t>
      </w:r>
      <w:r w:rsidR="00D97F90" w:rsidRPr="006A7645">
        <w:rPr>
          <w:rFonts w:ascii="Tahoma" w:hAnsi="Tahoma" w:cs="Tahoma"/>
          <w:sz w:val="20"/>
          <w:szCs w:val="20"/>
          <w:lang w:val="en-GB"/>
        </w:rPr>
        <w:t>CFT</w:t>
      </w:r>
      <w:r w:rsidRPr="006A7645">
        <w:rPr>
          <w:rFonts w:ascii="Tahoma" w:hAnsi="Tahoma" w:cs="Tahoma"/>
          <w:sz w:val="20"/>
          <w:szCs w:val="20"/>
          <w:lang w:val="en-GB"/>
        </w:rPr>
        <w:t xml:space="preserve"> framework,</w:t>
      </w:r>
    </w:p>
    <w:p w14:paraId="78C9F67E" w14:textId="77777777" w:rsidR="006A6FA7" w:rsidRPr="006A7645" w:rsidRDefault="00784507" w:rsidP="006A6FA7">
      <w:pPr>
        <w:pStyle w:val="ListParagraph"/>
        <w:widowControl/>
        <w:numPr>
          <w:ilvl w:val="0"/>
          <w:numId w:val="42"/>
        </w:numPr>
        <w:tabs>
          <w:tab w:val="left" w:pos="1276"/>
        </w:tabs>
        <w:spacing w:line="240" w:lineRule="exact"/>
        <w:ind w:leftChars="0" w:left="1276" w:right="23" w:hanging="283"/>
        <w:contextualSpacing/>
        <w:rPr>
          <w:rFonts w:ascii="Tahoma" w:hAnsi="Tahoma" w:cs="Tahoma"/>
          <w:sz w:val="20"/>
          <w:szCs w:val="20"/>
        </w:rPr>
      </w:pPr>
      <w:r w:rsidRPr="006A7645">
        <w:rPr>
          <w:rFonts w:ascii="Tahoma" w:hAnsi="Tahoma" w:cs="Tahoma"/>
          <w:sz w:val="20"/>
          <w:szCs w:val="20"/>
        </w:rPr>
        <w:t>the availability, and</w:t>
      </w:r>
    </w:p>
    <w:p w14:paraId="4C020E6A" w14:textId="3BDB5461" w:rsidR="00784507" w:rsidRPr="006A7645" w:rsidRDefault="00784507" w:rsidP="006A6FA7">
      <w:pPr>
        <w:pStyle w:val="ListParagraph"/>
        <w:widowControl/>
        <w:numPr>
          <w:ilvl w:val="0"/>
          <w:numId w:val="42"/>
        </w:numPr>
        <w:tabs>
          <w:tab w:val="left" w:pos="1276"/>
        </w:tabs>
        <w:spacing w:line="240" w:lineRule="exact"/>
        <w:ind w:leftChars="0" w:left="1276" w:right="23" w:hanging="283"/>
        <w:contextualSpacing/>
        <w:rPr>
          <w:rFonts w:ascii="Tahoma" w:hAnsi="Tahoma" w:cs="Tahoma"/>
          <w:sz w:val="20"/>
          <w:szCs w:val="20"/>
        </w:rPr>
      </w:pPr>
      <w:r w:rsidRPr="006A7645">
        <w:rPr>
          <w:rFonts w:ascii="Tahoma" w:hAnsi="Tahoma" w:cs="Tahoma"/>
          <w:sz w:val="20"/>
          <w:szCs w:val="20"/>
          <w:lang w:val="en-GB"/>
        </w:rPr>
        <w:t>the hierarchical level and the powers within the institution to be able to propose, on the AMLCO’s own initiative, all necessary or useful measures to guarantee the compliance and efficiency of the internal AML/</w:t>
      </w:r>
      <w:r w:rsidR="00D97F90" w:rsidRPr="006A7645">
        <w:rPr>
          <w:rFonts w:ascii="Tahoma" w:hAnsi="Tahoma" w:cs="Tahoma"/>
          <w:sz w:val="20"/>
          <w:szCs w:val="20"/>
          <w:lang w:val="en-GB"/>
        </w:rPr>
        <w:t>CFT</w:t>
      </w:r>
      <w:r w:rsidRPr="006A7645">
        <w:rPr>
          <w:rFonts w:ascii="Tahoma" w:hAnsi="Tahoma" w:cs="Tahoma"/>
          <w:sz w:val="20"/>
          <w:szCs w:val="20"/>
          <w:lang w:val="en-GB"/>
        </w:rPr>
        <w:t xml:space="preserve"> measures to the board of directors and to the management committee.</w:t>
      </w:r>
    </w:p>
    <w:p w14:paraId="05EFDDD1" w14:textId="5FBB6AA1" w:rsidR="00784507" w:rsidRPr="000B6EAF" w:rsidRDefault="00784507" w:rsidP="00784507">
      <w:pPr>
        <w:pStyle w:val="ListParagraph"/>
        <w:widowControl/>
        <w:numPr>
          <w:ilvl w:val="0"/>
          <w:numId w:val="41"/>
        </w:numPr>
        <w:spacing w:line="240" w:lineRule="exact"/>
        <w:ind w:leftChars="0" w:left="905" w:right="23" w:hanging="425"/>
        <w:contextualSpacing/>
        <w:rPr>
          <w:rFonts w:ascii="Tahoma" w:hAnsi="Tahoma" w:cs="Tahoma"/>
          <w:sz w:val="20"/>
          <w:szCs w:val="20"/>
          <w:lang w:val="en-GB"/>
        </w:rPr>
      </w:pPr>
      <w:r w:rsidRPr="006A7645">
        <w:rPr>
          <w:rFonts w:ascii="Tahoma" w:hAnsi="Tahoma" w:cs="Tahoma"/>
          <w:sz w:val="20"/>
          <w:szCs w:val="20"/>
          <w:lang w:val="en-GB"/>
        </w:rPr>
        <w:t>The ALMCO should be part of the compliance function and can thus be, as in UTB, the compliance officer himself. Being the compliance officer, he is subject to the NBB “ fit &amp; prop</w:t>
      </w:r>
      <w:r w:rsidRPr="000B6EAF">
        <w:rPr>
          <w:rFonts w:ascii="Tahoma" w:hAnsi="Tahoma" w:cs="Tahoma"/>
          <w:sz w:val="20"/>
          <w:szCs w:val="20"/>
          <w:lang w:val="en-GB"/>
        </w:rPr>
        <w:t>er “ review.</w:t>
      </w:r>
      <w:r w:rsidR="008F4F95" w:rsidRPr="000B6EAF">
        <w:rPr>
          <w:rFonts w:ascii="Tahoma" w:hAnsi="Tahoma" w:cs="Tahoma" w:hint="eastAsia"/>
          <w:sz w:val="20"/>
          <w:szCs w:val="20"/>
          <w:lang w:val="en-GB"/>
        </w:rPr>
        <w:t xml:space="preserve"> </w:t>
      </w:r>
      <w:r w:rsidR="008F4F95" w:rsidRPr="000B6EAF">
        <w:rPr>
          <w:rFonts w:ascii="Tahoma" w:hAnsi="Tahoma" w:cs="Tahoma"/>
          <w:sz w:val="20"/>
          <w:szCs w:val="20"/>
          <w:lang w:val="en-GB"/>
        </w:rPr>
        <w:t>However, the financial institutions are expected to verify the AML/CFTP suitability of the persons they intend to appoint as AMLCO.</w:t>
      </w:r>
    </w:p>
    <w:p w14:paraId="2B3D14E9" w14:textId="330C3DE5" w:rsidR="00544F2B" w:rsidRPr="000B6EAF" w:rsidRDefault="00544F2B" w:rsidP="00544F2B">
      <w:pPr>
        <w:pStyle w:val="ListParagraph"/>
        <w:widowControl/>
        <w:numPr>
          <w:ilvl w:val="0"/>
          <w:numId w:val="41"/>
        </w:numPr>
        <w:spacing w:line="240" w:lineRule="exact"/>
        <w:ind w:leftChars="0" w:left="905" w:right="23" w:hanging="425"/>
        <w:contextualSpacing/>
        <w:rPr>
          <w:rFonts w:ascii="Tahoma" w:hAnsi="Tahoma" w:cs="Tahoma"/>
          <w:sz w:val="20"/>
          <w:szCs w:val="20"/>
          <w:lang w:val="en-GB"/>
        </w:rPr>
      </w:pPr>
      <w:r w:rsidRPr="000B6EAF">
        <w:rPr>
          <w:rFonts w:ascii="Tahoma" w:hAnsi="Tahoma" w:cs="Tahoma"/>
          <w:sz w:val="20"/>
          <w:szCs w:val="20"/>
          <w:lang w:val="en-GB"/>
        </w:rPr>
        <w:t>The AMLCO should be physically based in Belgium, without prejudice to the principle of proportionality.</w:t>
      </w:r>
      <w:r w:rsidRPr="000B6EAF">
        <w:rPr>
          <w:rFonts w:ascii="Tahoma" w:hAnsi="Tahoma" w:cs="Tahoma" w:hint="eastAsia"/>
          <w:sz w:val="20"/>
          <w:szCs w:val="20"/>
          <w:lang w:val="en-GB"/>
        </w:rPr>
        <w:t xml:space="preserve"> </w:t>
      </w:r>
      <w:r w:rsidRPr="000B6EAF">
        <w:rPr>
          <w:rFonts w:ascii="Tahoma" w:hAnsi="Tahoma" w:cs="Tahoma"/>
          <w:sz w:val="20"/>
          <w:szCs w:val="20"/>
          <w:lang w:val="en-GB"/>
        </w:rPr>
        <w:t>This condition is derived from the territorial</w:t>
      </w:r>
      <w:r w:rsidRPr="000B6EAF">
        <w:rPr>
          <w:rFonts w:ascii="Tahoma" w:hAnsi="Tahoma" w:cs="Tahoma" w:hint="eastAsia"/>
          <w:sz w:val="20"/>
          <w:szCs w:val="20"/>
          <w:lang w:val="en-GB"/>
        </w:rPr>
        <w:t xml:space="preserve"> </w:t>
      </w:r>
      <w:r w:rsidRPr="000B6EAF">
        <w:rPr>
          <w:rFonts w:ascii="Tahoma" w:hAnsi="Tahoma" w:cs="Tahoma"/>
          <w:sz w:val="20"/>
          <w:szCs w:val="20"/>
          <w:lang w:val="en-GB"/>
        </w:rPr>
        <w:t>scope of application of the Anti-Money Laundering Law, compliance with which the AMLCO is responsible</w:t>
      </w:r>
      <w:r w:rsidRPr="000B6EAF">
        <w:rPr>
          <w:rFonts w:ascii="Tahoma" w:hAnsi="Tahoma" w:cs="Tahoma" w:hint="eastAsia"/>
          <w:sz w:val="20"/>
          <w:szCs w:val="20"/>
          <w:lang w:val="en-GB"/>
        </w:rPr>
        <w:t xml:space="preserve"> </w:t>
      </w:r>
      <w:r w:rsidRPr="000B6EAF">
        <w:rPr>
          <w:rFonts w:ascii="Tahoma" w:hAnsi="Tahoma" w:cs="Tahoma"/>
          <w:sz w:val="20"/>
          <w:szCs w:val="20"/>
          <w:lang w:val="en-GB"/>
        </w:rPr>
        <w:t>for ensuring, and from the requirement set out in Article 9 §2, third subparagraph, point 2° of the Anti-Money</w:t>
      </w:r>
      <w:r w:rsidRPr="000B6EAF">
        <w:rPr>
          <w:rFonts w:ascii="Tahoma" w:hAnsi="Tahoma" w:cs="Tahoma" w:hint="eastAsia"/>
          <w:sz w:val="20"/>
          <w:szCs w:val="20"/>
          <w:lang w:val="en-GB"/>
        </w:rPr>
        <w:t xml:space="preserve"> </w:t>
      </w:r>
      <w:r w:rsidRPr="000B6EAF">
        <w:rPr>
          <w:rFonts w:ascii="Tahoma" w:hAnsi="Tahoma" w:cs="Tahoma"/>
          <w:sz w:val="20"/>
          <w:szCs w:val="20"/>
          <w:lang w:val="en-GB"/>
        </w:rPr>
        <w:t>Laundering Law, pursuant to which the AMLCO must have, in particular, knowledge of the Belgian statutory</w:t>
      </w:r>
      <w:r w:rsidRPr="000B6EAF">
        <w:rPr>
          <w:rFonts w:ascii="Tahoma" w:hAnsi="Tahoma" w:cs="Tahoma" w:hint="eastAsia"/>
          <w:sz w:val="20"/>
          <w:szCs w:val="20"/>
          <w:lang w:val="en-GB"/>
        </w:rPr>
        <w:t xml:space="preserve"> </w:t>
      </w:r>
      <w:r w:rsidRPr="000B6EAF">
        <w:rPr>
          <w:rFonts w:ascii="Tahoma" w:hAnsi="Tahoma" w:cs="Tahoma"/>
          <w:sz w:val="20"/>
          <w:szCs w:val="20"/>
          <w:lang w:val="en-GB"/>
        </w:rPr>
        <w:t>and regulatory AML/CFTP framework and the necessary availability to ensure the effective, independent and</w:t>
      </w:r>
      <w:r w:rsidRPr="000B6EAF">
        <w:rPr>
          <w:rFonts w:ascii="Tahoma" w:hAnsi="Tahoma" w:cs="Tahoma" w:hint="eastAsia"/>
          <w:sz w:val="20"/>
          <w:szCs w:val="20"/>
          <w:lang w:val="en-GB"/>
        </w:rPr>
        <w:t xml:space="preserve"> </w:t>
      </w:r>
      <w:r w:rsidRPr="000B6EAF">
        <w:rPr>
          <w:rFonts w:ascii="Tahoma" w:hAnsi="Tahoma" w:cs="Tahoma"/>
          <w:sz w:val="20"/>
          <w:szCs w:val="20"/>
          <w:lang w:val="en-GB"/>
        </w:rPr>
        <w:t>autonomous performance of his or her tasks. If this requirement is derogated from on the basis of the</w:t>
      </w:r>
      <w:r w:rsidRPr="000B6EAF">
        <w:rPr>
          <w:rFonts w:ascii="Tahoma" w:hAnsi="Tahoma" w:cs="Tahoma" w:hint="eastAsia"/>
          <w:sz w:val="20"/>
          <w:szCs w:val="20"/>
          <w:lang w:val="en-GB"/>
        </w:rPr>
        <w:t xml:space="preserve"> </w:t>
      </w:r>
      <w:r w:rsidRPr="000B6EAF">
        <w:rPr>
          <w:rFonts w:ascii="Tahoma" w:hAnsi="Tahoma" w:cs="Tahoma"/>
          <w:sz w:val="20"/>
          <w:szCs w:val="20"/>
          <w:lang w:val="en-GB"/>
        </w:rPr>
        <w:t>principle of proportionality, the financial institution should have in place the necessary systems and controls</w:t>
      </w:r>
      <w:r w:rsidRPr="000B6EAF">
        <w:rPr>
          <w:rFonts w:ascii="Tahoma" w:hAnsi="Tahoma" w:cs="Tahoma" w:hint="eastAsia"/>
          <w:sz w:val="20"/>
          <w:szCs w:val="20"/>
          <w:lang w:val="en-GB"/>
        </w:rPr>
        <w:t xml:space="preserve"> </w:t>
      </w:r>
      <w:r w:rsidRPr="000B6EAF">
        <w:rPr>
          <w:rFonts w:ascii="Tahoma" w:hAnsi="Tahoma" w:cs="Tahoma"/>
          <w:sz w:val="20"/>
          <w:szCs w:val="20"/>
          <w:lang w:val="en-GB"/>
        </w:rPr>
        <w:t>to ensure that the AMLCO has access to all information and systems required to perform his or her duties and</w:t>
      </w:r>
      <w:r w:rsidRPr="000B6EAF">
        <w:rPr>
          <w:rFonts w:ascii="Tahoma" w:hAnsi="Tahoma" w:cs="Tahoma" w:hint="eastAsia"/>
          <w:sz w:val="20"/>
          <w:szCs w:val="20"/>
          <w:lang w:val="en-GB"/>
        </w:rPr>
        <w:t xml:space="preserve"> </w:t>
      </w:r>
      <w:r w:rsidRPr="000B6EAF">
        <w:rPr>
          <w:rFonts w:ascii="Tahoma" w:hAnsi="Tahoma" w:cs="Tahoma"/>
          <w:sz w:val="20"/>
          <w:szCs w:val="20"/>
          <w:lang w:val="en-GB"/>
        </w:rPr>
        <w:t>that the AMLCO is available to meet with CTIF-CFI and the supervisory authority without delay. The</w:t>
      </w:r>
      <w:r w:rsidRPr="000B6EAF">
        <w:rPr>
          <w:rFonts w:ascii="Tahoma" w:hAnsi="Tahoma" w:cs="Tahoma" w:hint="eastAsia"/>
          <w:sz w:val="20"/>
          <w:szCs w:val="20"/>
          <w:lang w:val="en-GB"/>
        </w:rPr>
        <w:t xml:space="preserve"> </w:t>
      </w:r>
      <w:r w:rsidRPr="000B6EAF">
        <w:rPr>
          <w:rFonts w:ascii="Tahoma" w:hAnsi="Tahoma" w:cs="Tahoma"/>
          <w:sz w:val="20"/>
          <w:szCs w:val="20"/>
          <w:lang w:val="en-GB"/>
        </w:rPr>
        <w:t>financial institution must also be able to provide the supervisor with evidence that the measures put in place</w:t>
      </w:r>
      <w:r w:rsidRPr="000B6EAF">
        <w:rPr>
          <w:rFonts w:ascii="Tahoma" w:hAnsi="Tahoma" w:cs="Tahoma" w:hint="eastAsia"/>
          <w:sz w:val="20"/>
          <w:szCs w:val="20"/>
          <w:lang w:val="en-GB"/>
        </w:rPr>
        <w:t xml:space="preserve"> </w:t>
      </w:r>
      <w:r w:rsidRPr="000B6EAF">
        <w:rPr>
          <w:rFonts w:ascii="Tahoma" w:hAnsi="Tahoma" w:cs="Tahoma"/>
          <w:sz w:val="20"/>
          <w:szCs w:val="20"/>
          <w:lang w:val="en-GB"/>
        </w:rPr>
        <w:t>by the institution are adequate and effective.</w:t>
      </w:r>
    </w:p>
    <w:p w14:paraId="5E1D3E37" w14:textId="77777777" w:rsidR="00784507" w:rsidRPr="000B6EAF" w:rsidRDefault="00784507" w:rsidP="00784507">
      <w:pPr>
        <w:pStyle w:val="ListParagraph"/>
        <w:widowControl/>
        <w:numPr>
          <w:ilvl w:val="0"/>
          <w:numId w:val="41"/>
        </w:numPr>
        <w:spacing w:line="240" w:lineRule="exact"/>
        <w:ind w:leftChars="0" w:left="905" w:right="23" w:hanging="425"/>
        <w:contextualSpacing/>
        <w:rPr>
          <w:rFonts w:ascii="Tahoma" w:hAnsi="Tahoma" w:cs="Tahoma"/>
          <w:sz w:val="20"/>
          <w:szCs w:val="20"/>
          <w:lang w:val="en-GB"/>
        </w:rPr>
      </w:pPr>
      <w:r w:rsidRPr="000B6EAF">
        <w:rPr>
          <w:rFonts w:ascii="Tahoma" w:hAnsi="Tahoma" w:cs="Tahoma"/>
          <w:sz w:val="20"/>
          <w:szCs w:val="20"/>
          <w:lang w:val="en-GB"/>
        </w:rPr>
        <w:t>UTB’s internal procedures should ensure that the AMLCO at all times has unrestricted and direct access to all information necessary for the performance of his/her duties. The AMLCO decides what information he/she needs access to in this respect.</w:t>
      </w:r>
    </w:p>
    <w:p w14:paraId="22E8B307" w14:textId="77777777" w:rsidR="00784507" w:rsidRPr="000B6EAF" w:rsidRDefault="00784507" w:rsidP="00784507">
      <w:pPr>
        <w:pStyle w:val="ListParagraph"/>
        <w:widowControl/>
        <w:numPr>
          <w:ilvl w:val="0"/>
          <w:numId w:val="41"/>
        </w:numPr>
        <w:spacing w:line="240" w:lineRule="exact"/>
        <w:ind w:leftChars="0" w:left="905" w:right="23" w:hanging="425"/>
        <w:contextualSpacing/>
        <w:rPr>
          <w:rFonts w:ascii="Tahoma" w:hAnsi="Tahoma" w:cs="Tahoma"/>
          <w:sz w:val="20"/>
          <w:szCs w:val="20"/>
          <w:lang w:val="en-GB"/>
        </w:rPr>
      </w:pPr>
      <w:r w:rsidRPr="000B6EAF">
        <w:rPr>
          <w:rFonts w:ascii="Tahoma" w:hAnsi="Tahoma" w:cs="Tahoma"/>
          <w:sz w:val="20"/>
          <w:szCs w:val="20"/>
          <w:lang w:val="en-GB"/>
        </w:rPr>
        <w:t>In case of a major incident, the AMLCO should be able to report and have direct access to the board of directors.</w:t>
      </w:r>
    </w:p>
    <w:p w14:paraId="5428CE5C" w14:textId="50C040D7" w:rsidR="00784507" w:rsidRPr="000B6EAF" w:rsidRDefault="00784507" w:rsidP="00544F2B">
      <w:pPr>
        <w:pStyle w:val="ListParagraph"/>
        <w:widowControl/>
        <w:numPr>
          <w:ilvl w:val="0"/>
          <w:numId w:val="41"/>
        </w:numPr>
        <w:spacing w:line="240" w:lineRule="exact"/>
        <w:ind w:leftChars="0" w:left="905" w:right="23" w:hanging="425"/>
        <w:contextualSpacing/>
        <w:rPr>
          <w:rFonts w:ascii="Tahoma" w:hAnsi="Tahoma" w:cs="Tahoma"/>
          <w:sz w:val="20"/>
          <w:szCs w:val="20"/>
          <w:lang w:val="en-GB"/>
        </w:rPr>
      </w:pPr>
      <w:r w:rsidRPr="000B6EAF">
        <w:rPr>
          <w:rFonts w:ascii="Tahoma" w:hAnsi="Tahoma" w:cs="Tahoma"/>
          <w:sz w:val="20"/>
          <w:szCs w:val="20"/>
          <w:lang w:val="en-GB"/>
        </w:rPr>
        <w:t>The AMLCO should have sufficient time to perform his/her tasks correctly.</w:t>
      </w:r>
      <w:r w:rsidR="00544F2B" w:rsidRPr="000B6EAF">
        <w:rPr>
          <w:rFonts w:ascii="Tahoma" w:hAnsi="Tahoma" w:cs="Tahoma" w:hint="eastAsia"/>
          <w:sz w:val="20"/>
          <w:szCs w:val="20"/>
          <w:lang w:val="en-GB"/>
        </w:rPr>
        <w:t xml:space="preserve"> UTB</w:t>
      </w:r>
      <w:r w:rsidR="00544F2B" w:rsidRPr="000B6EAF">
        <w:rPr>
          <w:rFonts w:ascii="Tahoma" w:hAnsi="Tahoma" w:cs="Tahoma"/>
          <w:sz w:val="20"/>
          <w:szCs w:val="20"/>
          <w:lang w:val="en-GB"/>
        </w:rPr>
        <w:t xml:space="preserve"> should ensure that the AMLCO works on an ongoing basis as part of its overall</w:t>
      </w:r>
      <w:r w:rsidR="00544F2B" w:rsidRPr="000B6EAF">
        <w:rPr>
          <w:rFonts w:ascii="Tahoma" w:hAnsi="Tahoma" w:cs="Tahoma" w:hint="eastAsia"/>
          <w:sz w:val="20"/>
          <w:szCs w:val="20"/>
          <w:lang w:val="en-GB"/>
        </w:rPr>
        <w:t xml:space="preserve"> </w:t>
      </w:r>
      <w:r w:rsidR="00544F2B" w:rsidRPr="000B6EAF">
        <w:rPr>
          <w:rFonts w:ascii="Tahoma" w:hAnsi="Tahoma" w:cs="Tahoma"/>
          <w:sz w:val="20"/>
          <w:szCs w:val="20"/>
          <w:lang w:val="en-GB"/>
        </w:rPr>
        <w:t>business continuity management. It should consider the possibility that the AMLCO may exit their position</w:t>
      </w:r>
      <w:r w:rsidR="00544F2B" w:rsidRPr="000B6EAF">
        <w:rPr>
          <w:rFonts w:ascii="Tahoma" w:hAnsi="Tahoma" w:cs="Tahoma" w:hint="eastAsia"/>
          <w:sz w:val="20"/>
          <w:szCs w:val="20"/>
          <w:lang w:val="en-GB"/>
        </w:rPr>
        <w:t xml:space="preserve"> </w:t>
      </w:r>
      <w:r w:rsidR="00544F2B" w:rsidRPr="000B6EAF">
        <w:rPr>
          <w:rFonts w:ascii="Tahoma" w:hAnsi="Tahoma" w:cs="Tahoma"/>
          <w:sz w:val="20"/>
          <w:szCs w:val="20"/>
          <w:lang w:val="en-GB"/>
        </w:rPr>
        <w:t>and ensure that there is an available replacement with the required AML/CFTP expertise to whom the</w:t>
      </w:r>
      <w:r w:rsidR="00544F2B" w:rsidRPr="000B6EAF">
        <w:rPr>
          <w:rFonts w:ascii="Tahoma" w:hAnsi="Tahoma" w:cs="Tahoma" w:hint="eastAsia"/>
          <w:sz w:val="20"/>
          <w:szCs w:val="20"/>
          <w:lang w:val="en-GB"/>
        </w:rPr>
        <w:t xml:space="preserve"> </w:t>
      </w:r>
      <w:r w:rsidR="00544F2B" w:rsidRPr="000B6EAF">
        <w:rPr>
          <w:rFonts w:ascii="Tahoma" w:hAnsi="Tahoma" w:cs="Tahoma"/>
          <w:sz w:val="20"/>
          <w:szCs w:val="20"/>
          <w:lang w:val="en-GB"/>
        </w:rPr>
        <w:t>AMLCO’s duties can be delegated should the AMLCO be absent for a period of time or should their integrity</w:t>
      </w:r>
      <w:r w:rsidR="00544F2B" w:rsidRPr="000B6EAF">
        <w:rPr>
          <w:rFonts w:ascii="Tahoma" w:hAnsi="Tahoma" w:cs="Tahoma" w:hint="eastAsia"/>
          <w:sz w:val="20"/>
          <w:szCs w:val="20"/>
          <w:lang w:val="en-GB"/>
        </w:rPr>
        <w:t xml:space="preserve"> </w:t>
      </w:r>
      <w:r w:rsidR="00544F2B" w:rsidRPr="000B6EAF">
        <w:rPr>
          <w:rFonts w:ascii="Tahoma" w:hAnsi="Tahoma" w:cs="Tahoma"/>
          <w:sz w:val="20"/>
          <w:szCs w:val="20"/>
          <w:lang w:val="en-GB"/>
        </w:rPr>
        <w:t xml:space="preserve">be called into question. Financial institutions are expected to </w:t>
      </w:r>
      <w:r w:rsidR="00544F2B" w:rsidRPr="000B6EAF">
        <w:rPr>
          <w:rFonts w:ascii="Tahoma" w:hAnsi="Tahoma" w:cs="Tahoma"/>
          <w:sz w:val="20"/>
          <w:szCs w:val="20"/>
          <w:lang w:val="en-GB"/>
        </w:rPr>
        <w:lastRenderedPageBreak/>
        <w:t>report such circumstances and the identity of the</w:t>
      </w:r>
      <w:r w:rsidR="00544F2B" w:rsidRPr="000B6EAF">
        <w:rPr>
          <w:rFonts w:ascii="Tahoma" w:hAnsi="Tahoma" w:cs="Tahoma" w:hint="eastAsia"/>
          <w:sz w:val="20"/>
          <w:szCs w:val="20"/>
          <w:lang w:val="en-GB"/>
        </w:rPr>
        <w:t xml:space="preserve"> </w:t>
      </w:r>
      <w:r w:rsidR="00544F2B" w:rsidRPr="000B6EAF">
        <w:rPr>
          <w:rFonts w:ascii="Tahoma" w:hAnsi="Tahoma" w:cs="Tahoma"/>
          <w:sz w:val="20"/>
          <w:szCs w:val="20"/>
          <w:lang w:val="en-GB"/>
        </w:rPr>
        <w:t xml:space="preserve">person acting for the AMLCO immediately </w:t>
      </w:r>
      <w:r w:rsidR="003E3465" w:rsidRPr="000B6EAF">
        <w:rPr>
          <w:rFonts w:ascii="Tahoma" w:hAnsi="Tahoma" w:cs="Tahoma" w:hint="eastAsia"/>
          <w:sz w:val="20"/>
          <w:szCs w:val="20"/>
          <w:lang w:val="en-GB"/>
        </w:rPr>
        <w:t xml:space="preserve">to the competent authority </w:t>
      </w:r>
      <w:r w:rsidR="00544F2B" w:rsidRPr="000B6EAF">
        <w:rPr>
          <w:rFonts w:ascii="Tahoma" w:hAnsi="Tahoma" w:cs="Tahoma"/>
          <w:sz w:val="20"/>
          <w:szCs w:val="20"/>
          <w:lang w:val="en-GB"/>
        </w:rPr>
        <w:t>by e-mail</w:t>
      </w:r>
      <w:r w:rsidR="00544F2B" w:rsidRPr="000B6EAF">
        <w:rPr>
          <w:rFonts w:ascii="Tahoma" w:hAnsi="Tahoma" w:cs="Tahoma" w:hint="eastAsia"/>
          <w:sz w:val="20"/>
          <w:szCs w:val="20"/>
          <w:lang w:val="en-GB"/>
        </w:rPr>
        <w:t>.</w:t>
      </w:r>
    </w:p>
    <w:p w14:paraId="3C818FD1" w14:textId="7513D7A2" w:rsidR="00784507" w:rsidRPr="000B6EAF" w:rsidRDefault="00784507" w:rsidP="00784507">
      <w:pPr>
        <w:pStyle w:val="ListParagraph"/>
        <w:widowControl/>
        <w:numPr>
          <w:ilvl w:val="0"/>
          <w:numId w:val="41"/>
        </w:numPr>
        <w:spacing w:line="240" w:lineRule="exact"/>
        <w:ind w:leftChars="0" w:left="905" w:right="23" w:hanging="425"/>
        <w:contextualSpacing/>
        <w:rPr>
          <w:rFonts w:ascii="Tahoma" w:hAnsi="Tahoma" w:cs="Tahoma"/>
          <w:sz w:val="20"/>
          <w:szCs w:val="20"/>
          <w:lang w:val="en-GB"/>
        </w:rPr>
      </w:pPr>
      <w:r w:rsidRPr="000B6EAF">
        <w:rPr>
          <w:rFonts w:ascii="Tahoma" w:hAnsi="Tahoma" w:cs="Tahoma"/>
          <w:sz w:val="20"/>
          <w:szCs w:val="20"/>
          <w:lang w:val="en-GB"/>
        </w:rPr>
        <w:t>The Management Committee and the Board should ensure that the AMLCO at all times has adequate human and material resources that enable him to comply effectively with the statutory and regulatory AML/</w:t>
      </w:r>
      <w:r w:rsidR="00D97F90" w:rsidRPr="000B6EAF">
        <w:rPr>
          <w:rFonts w:ascii="Tahoma" w:hAnsi="Tahoma" w:cs="Tahoma"/>
          <w:sz w:val="20"/>
          <w:szCs w:val="20"/>
          <w:lang w:val="en-GB"/>
        </w:rPr>
        <w:t>CFT</w:t>
      </w:r>
      <w:r w:rsidRPr="000B6EAF">
        <w:rPr>
          <w:rFonts w:ascii="Tahoma" w:hAnsi="Tahoma" w:cs="Tahoma"/>
          <w:sz w:val="20"/>
          <w:szCs w:val="20"/>
          <w:lang w:val="en-GB"/>
        </w:rPr>
        <w:t xml:space="preserve"> obligations. The resources allocated to AML/</w:t>
      </w:r>
      <w:r w:rsidR="00D97F90" w:rsidRPr="000B6EAF">
        <w:rPr>
          <w:rFonts w:ascii="Tahoma" w:hAnsi="Tahoma" w:cs="Tahoma"/>
          <w:sz w:val="20"/>
          <w:szCs w:val="20"/>
          <w:lang w:val="en-GB"/>
        </w:rPr>
        <w:t>CFT</w:t>
      </w:r>
      <w:r w:rsidRPr="000B6EAF">
        <w:rPr>
          <w:rFonts w:ascii="Tahoma" w:hAnsi="Tahoma" w:cs="Tahoma"/>
          <w:sz w:val="20"/>
          <w:szCs w:val="20"/>
          <w:lang w:val="en-GB"/>
        </w:rPr>
        <w:t xml:space="preserve"> should be proportionate to the ML/FT risks</w:t>
      </w:r>
    </w:p>
    <w:p w14:paraId="5624E873" w14:textId="0284F762" w:rsidR="00544F2B" w:rsidRPr="000B6EAF" w:rsidRDefault="00544F2B" w:rsidP="00544F2B">
      <w:pPr>
        <w:pStyle w:val="ListParagraph"/>
        <w:widowControl/>
        <w:numPr>
          <w:ilvl w:val="0"/>
          <w:numId w:val="41"/>
        </w:numPr>
        <w:spacing w:line="240" w:lineRule="exact"/>
        <w:ind w:leftChars="0" w:left="905" w:right="23" w:hanging="425"/>
        <w:contextualSpacing/>
        <w:rPr>
          <w:rFonts w:ascii="Tahoma" w:hAnsi="Tahoma" w:cs="Tahoma"/>
          <w:sz w:val="20"/>
          <w:szCs w:val="20"/>
          <w:lang w:val="en-GB"/>
        </w:rPr>
      </w:pPr>
      <w:r w:rsidRPr="000B6EAF">
        <w:rPr>
          <w:rFonts w:ascii="Tahoma" w:hAnsi="Tahoma" w:cs="Tahoma"/>
          <w:sz w:val="20"/>
          <w:szCs w:val="20"/>
          <w:lang w:val="en-GB"/>
        </w:rPr>
        <w:t>The AMLCO is expected to demonstrate a sufficient professional command of one of Belgium’s national</w:t>
      </w:r>
      <w:r w:rsidRPr="000B6EAF">
        <w:rPr>
          <w:rFonts w:ascii="Tahoma" w:hAnsi="Tahoma" w:cs="Tahoma" w:hint="eastAsia"/>
          <w:sz w:val="20"/>
          <w:szCs w:val="20"/>
          <w:lang w:val="en-GB"/>
        </w:rPr>
        <w:t xml:space="preserve"> </w:t>
      </w:r>
      <w:r w:rsidRPr="000B6EAF">
        <w:rPr>
          <w:rFonts w:ascii="Tahoma" w:hAnsi="Tahoma" w:cs="Tahoma"/>
          <w:sz w:val="20"/>
          <w:szCs w:val="20"/>
          <w:lang w:val="en-GB"/>
        </w:rPr>
        <w:t>languages, having regard in particular to the knowledge of the Belgian statutory and regulatory AML/CFTP</w:t>
      </w:r>
      <w:r w:rsidRPr="000B6EAF">
        <w:rPr>
          <w:rFonts w:ascii="Tahoma" w:hAnsi="Tahoma" w:cs="Tahoma" w:hint="eastAsia"/>
          <w:sz w:val="20"/>
          <w:szCs w:val="20"/>
          <w:lang w:val="en-GB"/>
        </w:rPr>
        <w:t xml:space="preserve"> </w:t>
      </w:r>
      <w:r w:rsidRPr="000B6EAF">
        <w:rPr>
          <w:rFonts w:ascii="Tahoma" w:hAnsi="Tahoma" w:cs="Tahoma"/>
          <w:sz w:val="20"/>
          <w:szCs w:val="20"/>
          <w:lang w:val="en-GB"/>
        </w:rPr>
        <w:t>framework required of AMLCOs and in view of the tasks with which the AMLCO is entrusted. It may be acceptable for the AMLCO to have only a command of a language that is customary in</w:t>
      </w:r>
      <w:r w:rsidRPr="000B6EAF">
        <w:rPr>
          <w:rFonts w:ascii="Tahoma" w:hAnsi="Tahoma" w:cs="Tahoma" w:hint="eastAsia"/>
          <w:sz w:val="20"/>
          <w:szCs w:val="20"/>
          <w:lang w:val="en-GB"/>
        </w:rPr>
        <w:t xml:space="preserve"> </w:t>
      </w:r>
      <w:r w:rsidRPr="000B6EAF">
        <w:rPr>
          <w:rFonts w:ascii="Tahoma" w:hAnsi="Tahoma" w:cs="Tahoma"/>
          <w:sz w:val="20"/>
          <w:szCs w:val="20"/>
          <w:lang w:val="en-GB"/>
        </w:rPr>
        <w:t>international circles when the financial institution concerned can demonstrate, on the one hand, that the</w:t>
      </w:r>
      <w:r w:rsidRPr="000B6EAF">
        <w:rPr>
          <w:rFonts w:ascii="Tahoma" w:hAnsi="Tahoma" w:cs="Tahoma" w:hint="eastAsia"/>
          <w:sz w:val="20"/>
          <w:szCs w:val="20"/>
          <w:lang w:val="en-GB"/>
        </w:rPr>
        <w:t xml:space="preserve"> </w:t>
      </w:r>
      <w:r w:rsidRPr="000B6EAF">
        <w:rPr>
          <w:rFonts w:ascii="Tahoma" w:hAnsi="Tahoma" w:cs="Tahoma"/>
          <w:sz w:val="20"/>
          <w:szCs w:val="20"/>
          <w:lang w:val="en-GB"/>
        </w:rPr>
        <w:t>conditions to apply the principle of proportionality are met and, on the other hand, that this command alone is</w:t>
      </w:r>
      <w:r w:rsidRPr="000B6EAF">
        <w:rPr>
          <w:rFonts w:ascii="Tahoma" w:hAnsi="Tahoma" w:cs="Tahoma" w:hint="eastAsia"/>
          <w:sz w:val="20"/>
          <w:szCs w:val="20"/>
          <w:lang w:val="en-GB"/>
        </w:rPr>
        <w:t xml:space="preserve"> </w:t>
      </w:r>
      <w:r w:rsidRPr="000B6EAF">
        <w:rPr>
          <w:rFonts w:ascii="Tahoma" w:hAnsi="Tahoma" w:cs="Tahoma"/>
          <w:sz w:val="20"/>
          <w:szCs w:val="20"/>
          <w:lang w:val="en-GB"/>
        </w:rPr>
        <w:t>not such as to jeopardise the AML/CFTP suitability of the AMLCO, including the requirement of knowledge</w:t>
      </w:r>
      <w:r w:rsidRPr="000B6EAF">
        <w:rPr>
          <w:rFonts w:ascii="Tahoma" w:hAnsi="Tahoma" w:cs="Tahoma" w:hint="eastAsia"/>
          <w:sz w:val="20"/>
          <w:szCs w:val="20"/>
          <w:lang w:val="en-GB"/>
        </w:rPr>
        <w:t xml:space="preserve"> </w:t>
      </w:r>
      <w:r w:rsidRPr="000B6EAF">
        <w:rPr>
          <w:rFonts w:ascii="Tahoma" w:hAnsi="Tahoma" w:cs="Tahoma"/>
          <w:sz w:val="20"/>
          <w:szCs w:val="20"/>
          <w:lang w:val="en-GB"/>
        </w:rPr>
        <w:t>of the Belgian statutory and regulatory framework, or the effective performance of the AMLCO’s duties.</w:t>
      </w:r>
    </w:p>
    <w:p w14:paraId="51770A15" w14:textId="77777777" w:rsidR="00784507" w:rsidRPr="006A7645" w:rsidRDefault="00784507" w:rsidP="00784507">
      <w:pPr>
        <w:pStyle w:val="ListParagraph"/>
        <w:spacing w:line="240" w:lineRule="exact"/>
        <w:ind w:leftChars="0" w:left="709" w:right="23"/>
        <w:rPr>
          <w:rFonts w:ascii="Tahoma" w:hAnsi="Tahoma" w:cs="Tahoma"/>
          <w:sz w:val="20"/>
          <w:szCs w:val="20"/>
          <w:lang w:val="en-GB"/>
        </w:rPr>
      </w:pPr>
    </w:p>
    <w:p w14:paraId="15263670" w14:textId="77777777" w:rsidR="00B307C4" w:rsidRPr="006A7645" w:rsidRDefault="00784507" w:rsidP="00784507">
      <w:pPr>
        <w:pStyle w:val="ListParagraph"/>
        <w:widowControl/>
        <w:numPr>
          <w:ilvl w:val="0"/>
          <w:numId w:val="38"/>
        </w:numPr>
        <w:spacing w:line="240" w:lineRule="exact"/>
        <w:ind w:leftChars="0" w:left="284" w:right="23" w:hanging="284"/>
        <w:contextualSpacing/>
        <w:rPr>
          <w:rFonts w:ascii="Tahoma" w:hAnsi="Tahoma" w:cs="Tahoma"/>
          <w:sz w:val="20"/>
          <w:szCs w:val="20"/>
          <w:lang w:val="en-GB"/>
        </w:rPr>
      </w:pPr>
      <w:r w:rsidRPr="006A7645">
        <w:rPr>
          <w:rFonts w:ascii="Tahoma" w:hAnsi="Tahoma" w:cs="Tahoma"/>
          <w:sz w:val="20"/>
          <w:szCs w:val="20"/>
          <w:lang w:val="en-GB"/>
        </w:rPr>
        <w:t>Tasks</w:t>
      </w:r>
    </w:p>
    <w:p w14:paraId="5ECABA91" w14:textId="77024897" w:rsidR="00784507" w:rsidRPr="006A7645" w:rsidRDefault="00784507" w:rsidP="006A6FA7">
      <w:pPr>
        <w:widowControl/>
        <w:spacing w:line="240" w:lineRule="exact"/>
        <w:ind w:right="23"/>
        <w:contextualSpacing/>
        <w:rPr>
          <w:rFonts w:ascii="Tahoma" w:hAnsi="Tahoma" w:cs="Tahoma"/>
          <w:sz w:val="20"/>
          <w:szCs w:val="20"/>
          <w:lang w:val="en-GB"/>
        </w:rPr>
      </w:pPr>
    </w:p>
    <w:p w14:paraId="22643EF2" w14:textId="79AF3935" w:rsidR="00784507" w:rsidRPr="006A7645" w:rsidRDefault="00784507" w:rsidP="00784507">
      <w:pPr>
        <w:spacing w:line="240" w:lineRule="exact"/>
        <w:ind w:left="17" w:right="23"/>
        <w:rPr>
          <w:rFonts w:ascii="Tahoma" w:hAnsi="Tahoma" w:cs="Tahoma"/>
          <w:sz w:val="20"/>
          <w:szCs w:val="20"/>
          <w:lang w:val="en-GB"/>
        </w:rPr>
      </w:pPr>
      <w:r w:rsidRPr="006A7645">
        <w:rPr>
          <w:rFonts w:ascii="Tahoma" w:hAnsi="Tahoma" w:cs="Tahoma"/>
          <w:sz w:val="20"/>
          <w:szCs w:val="20"/>
          <w:lang w:val="en-GB"/>
        </w:rPr>
        <w:t>As part of the second line of defence, the AMLCO is responsible for effectively steering AML/</w:t>
      </w:r>
      <w:r w:rsidR="00D97F90" w:rsidRPr="006A7645">
        <w:rPr>
          <w:rFonts w:ascii="Tahoma" w:hAnsi="Tahoma" w:cs="Tahoma"/>
          <w:sz w:val="20"/>
          <w:szCs w:val="20"/>
          <w:lang w:val="en-GB"/>
        </w:rPr>
        <w:t>CFT</w:t>
      </w:r>
      <w:r w:rsidRPr="006A7645">
        <w:rPr>
          <w:rFonts w:ascii="Tahoma" w:hAnsi="Tahoma" w:cs="Tahoma"/>
          <w:sz w:val="20"/>
          <w:szCs w:val="20"/>
          <w:lang w:val="en-GB"/>
        </w:rPr>
        <w:t xml:space="preserve"> policy in the financial institution. The AMLCO’s role and responsibilities should be clearly defined and documented. In particular, the AMLCO is responsible for the following tasks:</w:t>
      </w:r>
    </w:p>
    <w:p w14:paraId="7ACF7D76" w14:textId="4AE6E88F" w:rsidR="00784507" w:rsidRPr="006A7645" w:rsidRDefault="002517AF" w:rsidP="00784507">
      <w:pPr>
        <w:pStyle w:val="ListParagraph"/>
        <w:widowControl/>
        <w:numPr>
          <w:ilvl w:val="0"/>
          <w:numId w:val="43"/>
        </w:numPr>
        <w:spacing w:line="240" w:lineRule="exact"/>
        <w:ind w:leftChars="0" w:left="840" w:right="23"/>
        <w:contextualSpacing/>
        <w:rPr>
          <w:rFonts w:ascii="Tahoma" w:hAnsi="Tahoma" w:cs="Tahoma"/>
          <w:sz w:val="20"/>
          <w:szCs w:val="20"/>
          <w:lang w:val="en-GB"/>
        </w:rPr>
      </w:pPr>
      <w:r>
        <w:rPr>
          <w:rFonts w:ascii="Tahoma" w:hAnsi="Tahoma" w:cs="Tahoma"/>
          <w:sz w:val="20"/>
          <w:szCs w:val="20"/>
          <w:lang w:val="en-GB"/>
        </w:rPr>
        <w:t>D</w:t>
      </w:r>
      <w:r w:rsidR="00784507" w:rsidRPr="006A7645">
        <w:rPr>
          <w:rFonts w:ascii="Tahoma" w:hAnsi="Tahoma" w:cs="Tahoma"/>
          <w:sz w:val="20"/>
          <w:szCs w:val="20"/>
          <w:lang w:val="en-GB"/>
        </w:rPr>
        <w:t>eveloping and maintaining an ML/FT risk assessment framework for the purpose of carrying out overall and individual risk assessments;</w:t>
      </w:r>
    </w:p>
    <w:p w14:paraId="050D16E0" w14:textId="6B78642D" w:rsidR="00784507" w:rsidRPr="006A7645" w:rsidRDefault="002517AF" w:rsidP="00784507">
      <w:pPr>
        <w:pStyle w:val="ListParagraph"/>
        <w:widowControl/>
        <w:numPr>
          <w:ilvl w:val="0"/>
          <w:numId w:val="43"/>
        </w:numPr>
        <w:spacing w:line="240" w:lineRule="exact"/>
        <w:ind w:leftChars="0" w:left="840" w:right="23"/>
        <w:contextualSpacing/>
        <w:rPr>
          <w:rFonts w:ascii="Tahoma" w:hAnsi="Tahoma" w:cs="Tahoma"/>
          <w:sz w:val="20"/>
          <w:szCs w:val="20"/>
          <w:lang w:val="en-GB"/>
        </w:rPr>
      </w:pPr>
      <w:r>
        <w:rPr>
          <w:rFonts w:ascii="Tahoma" w:hAnsi="Tahoma" w:cs="Tahoma"/>
          <w:sz w:val="20"/>
          <w:szCs w:val="20"/>
          <w:lang w:val="en-GB"/>
        </w:rPr>
        <w:t>E</w:t>
      </w:r>
      <w:r w:rsidR="00784507" w:rsidRPr="006A7645">
        <w:rPr>
          <w:rFonts w:ascii="Tahoma" w:hAnsi="Tahoma" w:cs="Tahoma"/>
          <w:sz w:val="20"/>
          <w:szCs w:val="20"/>
          <w:lang w:val="en-GB"/>
        </w:rPr>
        <w:t>ffectively implementing the organisational measures listed in Article 8 of the Anti-Money Laundering Law, and ensuring that they are regularly reviewed and, where necessary, amended or updated (this is  mainly: develop and implement policies and procedures, internal control measures, training of staff);</w:t>
      </w:r>
    </w:p>
    <w:p w14:paraId="62333E5A" w14:textId="04A80691" w:rsidR="00784507" w:rsidRPr="006A7645" w:rsidRDefault="002517AF" w:rsidP="00784507">
      <w:pPr>
        <w:pStyle w:val="ListParagraph"/>
        <w:widowControl/>
        <w:numPr>
          <w:ilvl w:val="0"/>
          <w:numId w:val="43"/>
        </w:numPr>
        <w:spacing w:line="240" w:lineRule="exact"/>
        <w:ind w:leftChars="0" w:left="840" w:right="23"/>
        <w:contextualSpacing/>
        <w:rPr>
          <w:rFonts w:ascii="Tahoma" w:hAnsi="Tahoma" w:cs="Tahoma"/>
          <w:sz w:val="20"/>
          <w:szCs w:val="20"/>
          <w:lang w:val="en-GB"/>
        </w:rPr>
      </w:pPr>
      <w:r>
        <w:rPr>
          <w:rFonts w:ascii="Tahoma" w:hAnsi="Tahoma" w:cs="Tahoma"/>
          <w:sz w:val="20"/>
          <w:szCs w:val="20"/>
          <w:lang w:val="en-GB"/>
        </w:rPr>
        <w:t>P</w:t>
      </w:r>
      <w:r w:rsidR="00784507" w:rsidRPr="006A7645">
        <w:rPr>
          <w:rFonts w:ascii="Tahoma" w:hAnsi="Tahoma" w:cs="Tahoma"/>
          <w:sz w:val="20"/>
          <w:szCs w:val="20"/>
          <w:lang w:val="en-GB"/>
        </w:rPr>
        <w:t>roposing a course of action in the event of changes in statutory or regulatory requirements or in ML/FTP risks, and how best to address deficiencies and shortcomings revealed by monitoring and supervision;</w:t>
      </w:r>
    </w:p>
    <w:p w14:paraId="62EBFEA0" w14:textId="3D1091A9" w:rsidR="00784507" w:rsidRPr="006A7645" w:rsidRDefault="002517AF" w:rsidP="00784507">
      <w:pPr>
        <w:pStyle w:val="ListParagraph"/>
        <w:widowControl/>
        <w:numPr>
          <w:ilvl w:val="0"/>
          <w:numId w:val="43"/>
        </w:numPr>
        <w:spacing w:line="240" w:lineRule="exact"/>
        <w:ind w:leftChars="0" w:left="840" w:right="23"/>
        <w:contextualSpacing/>
        <w:rPr>
          <w:rFonts w:ascii="Tahoma" w:hAnsi="Tahoma" w:cs="Tahoma"/>
          <w:sz w:val="20"/>
          <w:szCs w:val="20"/>
          <w:lang w:val="en-GB"/>
        </w:rPr>
      </w:pPr>
      <w:r>
        <w:rPr>
          <w:rFonts w:ascii="Tahoma" w:hAnsi="Tahoma" w:cs="Tahoma"/>
          <w:sz w:val="20"/>
          <w:szCs w:val="20"/>
          <w:lang w:val="en-GB"/>
        </w:rPr>
        <w:t>M</w:t>
      </w:r>
      <w:r w:rsidR="00784507" w:rsidRPr="006A7645">
        <w:rPr>
          <w:rFonts w:ascii="Tahoma" w:hAnsi="Tahoma" w:cs="Tahoma"/>
          <w:sz w:val="20"/>
          <w:szCs w:val="20"/>
          <w:lang w:val="en-GB"/>
        </w:rPr>
        <w:t>onitoring the effective implementation of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control measures by business units and internal units, which act as the first line of defence;</w:t>
      </w:r>
    </w:p>
    <w:p w14:paraId="12942A9A" w14:textId="3FB0E7F2" w:rsidR="00784507" w:rsidRPr="006A7645" w:rsidRDefault="002517AF" w:rsidP="00784507">
      <w:pPr>
        <w:pStyle w:val="ListParagraph"/>
        <w:widowControl/>
        <w:numPr>
          <w:ilvl w:val="0"/>
          <w:numId w:val="43"/>
        </w:numPr>
        <w:spacing w:line="240" w:lineRule="exact"/>
        <w:ind w:leftChars="0" w:left="840" w:right="23"/>
        <w:contextualSpacing/>
        <w:rPr>
          <w:rFonts w:ascii="Tahoma" w:hAnsi="Tahoma" w:cs="Tahoma"/>
          <w:sz w:val="20"/>
          <w:szCs w:val="20"/>
          <w:lang w:val="en-GB"/>
        </w:rPr>
      </w:pPr>
      <w:r>
        <w:rPr>
          <w:rFonts w:ascii="Tahoma" w:hAnsi="Tahoma" w:cs="Tahoma"/>
          <w:sz w:val="20"/>
          <w:szCs w:val="20"/>
          <w:lang w:val="en-GB"/>
        </w:rPr>
        <w:t>P</w:t>
      </w:r>
      <w:r w:rsidR="00784507" w:rsidRPr="006A7645">
        <w:rPr>
          <w:rFonts w:ascii="Tahoma" w:hAnsi="Tahoma" w:cs="Tahoma"/>
          <w:sz w:val="20"/>
          <w:szCs w:val="20"/>
          <w:lang w:val="en-GB"/>
        </w:rPr>
        <w:t>roviding advice before employees at an appropriately high hierarchical level make a final decision on the acceptance or continuation of a business relationship with high-risk customers in accordance with the financial institution’s risk-based internal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policies. Where these employees do not follow the AMLCO’s advice, they should properly record their decision and establish how they intend to mitigate the risks raised by the AMLCO;</w:t>
      </w:r>
    </w:p>
    <w:p w14:paraId="59330DB1" w14:textId="00BF09CE" w:rsidR="00784507" w:rsidRPr="006A7645" w:rsidRDefault="002517AF" w:rsidP="00784507">
      <w:pPr>
        <w:pStyle w:val="ListParagraph"/>
        <w:widowControl/>
        <w:numPr>
          <w:ilvl w:val="0"/>
          <w:numId w:val="43"/>
        </w:numPr>
        <w:spacing w:line="240" w:lineRule="exact"/>
        <w:ind w:leftChars="0" w:left="840" w:right="23"/>
        <w:contextualSpacing/>
        <w:rPr>
          <w:rFonts w:ascii="Tahoma" w:hAnsi="Tahoma" w:cs="Tahoma"/>
          <w:sz w:val="20"/>
          <w:szCs w:val="20"/>
          <w:lang w:val="en-GB"/>
        </w:rPr>
      </w:pPr>
      <w:r>
        <w:rPr>
          <w:rFonts w:ascii="Tahoma" w:hAnsi="Tahoma" w:cs="Tahoma"/>
          <w:sz w:val="20"/>
          <w:szCs w:val="20"/>
          <w:lang w:val="en-GB"/>
        </w:rPr>
        <w:t>A</w:t>
      </w:r>
      <w:r w:rsidR="00784507" w:rsidRPr="006A7645">
        <w:rPr>
          <w:rFonts w:ascii="Tahoma" w:hAnsi="Tahoma" w:cs="Tahoma"/>
          <w:sz w:val="20"/>
          <w:szCs w:val="20"/>
          <w:lang w:val="en-GB"/>
        </w:rPr>
        <w:t>nalysing atypical transactions and situations in which the due diligence obligations could not be fulfilled (in accordance with Articles 45 and 46 of the Anti-Money Laundering Law);</w:t>
      </w:r>
    </w:p>
    <w:p w14:paraId="16A11E8A" w14:textId="3BE7E3FA" w:rsidR="00784507" w:rsidRPr="006A7645" w:rsidRDefault="002517AF" w:rsidP="00784507">
      <w:pPr>
        <w:pStyle w:val="ListParagraph"/>
        <w:widowControl/>
        <w:numPr>
          <w:ilvl w:val="0"/>
          <w:numId w:val="43"/>
        </w:numPr>
        <w:spacing w:line="240" w:lineRule="exact"/>
        <w:ind w:leftChars="0" w:left="840" w:right="23"/>
        <w:contextualSpacing/>
        <w:rPr>
          <w:rFonts w:ascii="Tahoma" w:hAnsi="Tahoma" w:cs="Tahoma"/>
          <w:sz w:val="20"/>
          <w:szCs w:val="20"/>
          <w:lang w:val="en-GB"/>
        </w:rPr>
      </w:pPr>
      <w:r>
        <w:rPr>
          <w:rFonts w:ascii="Tahoma" w:hAnsi="Tahoma" w:cs="Tahoma"/>
          <w:sz w:val="20"/>
          <w:szCs w:val="20"/>
          <w:lang w:val="en-GB"/>
        </w:rPr>
        <w:t>D</w:t>
      </w:r>
      <w:r w:rsidR="00784507" w:rsidRPr="006A7645">
        <w:rPr>
          <w:rFonts w:ascii="Tahoma" w:hAnsi="Tahoma" w:cs="Tahoma"/>
          <w:sz w:val="20"/>
          <w:szCs w:val="20"/>
          <w:lang w:val="en-GB"/>
        </w:rPr>
        <w:t>eciding, where necessary, to report suspicions to CTIF-CFI (in accordance with Article 47 of the Anti-Money Laundering Law and the provisions adopted in implementation of Article 54 of the Law) and to provide it with any other information required by application of the Law. In this regard, the AMLCO makes the autonomous decision to report to CTIF-CFI without submitting this decision to the senior officer responsible;</w:t>
      </w:r>
    </w:p>
    <w:p w14:paraId="3E1D4270" w14:textId="4A21B3E1" w:rsidR="00784507" w:rsidRPr="006A7645" w:rsidRDefault="002517AF" w:rsidP="00784507">
      <w:pPr>
        <w:pStyle w:val="ListParagraph"/>
        <w:widowControl/>
        <w:numPr>
          <w:ilvl w:val="0"/>
          <w:numId w:val="43"/>
        </w:numPr>
        <w:spacing w:line="240" w:lineRule="exact"/>
        <w:ind w:leftChars="0" w:left="840" w:right="23"/>
        <w:contextualSpacing/>
        <w:rPr>
          <w:rFonts w:ascii="Tahoma" w:hAnsi="Tahoma" w:cs="Tahoma"/>
          <w:sz w:val="20"/>
          <w:szCs w:val="20"/>
          <w:lang w:val="en-GB"/>
        </w:rPr>
      </w:pPr>
      <w:r>
        <w:rPr>
          <w:rFonts w:ascii="Tahoma" w:hAnsi="Tahoma" w:cs="Tahoma"/>
          <w:sz w:val="20"/>
          <w:szCs w:val="20"/>
          <w:lang w:val="en-GB"/>
        </w:rPr>
        <w:t>R</w:t>
      </w:r>
      <w:r w:rsidR="00784507" w:rsidRPr="006A7645">
        <w:rPr>
          <w:rFonts w:ascii="Tahoma" w:hAnsi="Tahoma" w:cs="Tahoma"/>
          <w:sz w:val="20"/>
          <w:szCs w:val="20"/>
          <w:lang w:val="en-GB"/>
        </w:rPr>
        <w:t>esponding to requests for additional information addressed to the financial institution by CTIF-CFI (in accordance with Articles 48 and 49 of the Anti-Money Laundering Law);</w:t>
      </w:r>
    </w:p>
    <w:p w14:paraId="038AA645" w14:textId="09FE9DAD" w:rsidR="00784507" w:rsidRPr="006A7645" w:rsidRDefault="002517AF" w:rsidP="00784507">
      <w:pPr>
        <w:pStyle w:val="ListParagraph"/>
        <w:widowControl/>
        <w:numPr>
          <w:ilvl w:val="0"/>
          <w:numId w:val="43"/>
        </w:numPr>
        <w:spacing w:line="240" w:lineRule="exact"/>
        <w:ind w:leftChars="0" w:left="840" w:right="23"/>
        <w:contextualSpacing/>
        <w:rPr>
          <w:rFonts w:ascii="Tahoma" w:hAnsi="Tahoma" w:cs="Tahoma"/>
          <w:sz w:val="20"/>
          <w:szCs w:val="20"/>
          <w:lang w:val="en-GB"/>
        </w:rPr>
      </w:pPr>
      <w:r>
        <w:rPr>
          <w:rFonts w:ascii="Tahoma" w:hAnsi="Tahoma" w:cs="Tahoma"/>
          <w:sz w:val="20"/>
          <w:szCs w:val="20"/>
          <w:lang w:val="en-GB"/>
        </w:rPr>
        <w:t>E</w:t>
      </w:r>
      <w:r w:rsidR="00784507" w:rsidRPr="006A7645">
        <w:rPr>
          <w:rFonts w:ascii="Tahoma" w:hAnsi="Tahoma" w:cs="Tahoma"/>
          <w:sz w:val="20"/>
          <w:szCs w:val="20"/>
          <w:lang w:val="en-GB"/>
        </w:rPr>
        <w:t>ducating and training the staff and, where applicable, the agents and distributors of the financial institution on AML/</w:t>
      </w:r>
      <w:r w:rsidR="00D97F90" w:rsidRPr="006A7645">
        <w:rPr>
          <w:rFonts w:ascii="Tahoma" w:hAnsi="Tahoma" w:cs="Tahoma"/>
          <w:sz w:val="20"/>
          <w:szCs w:val="20"/>
          <w:lang w:val="en-GB"/>
        </w:rPr>
        <w:t>CFT</w:t>
      </w:r>
      <w:r w:rsidR="00784507" w:rsidRPr="006A7645">
        <w:rPr>
          <w:rFonts w:ascii="Tahoma" w:hAnsi="Tahoma" w:cs="Tahoma"/>
          <w:sz w:val="20"/>
          <w:szCs w:val="20"/>
          <w:lang w:val="en-GB"/>
        </w:rPr>
        <w:t>-related matters;</w:t>
      </w:r>
    </w:p>
    <w:p w14:paraId="791967E6" w14:textId="07F3AEA6" w:rsidR="00784507" w:rsidRPr="006A7645" w:rsidRDefault="002517AF" w:rsidP="00784507">
      <w:pPr>
        <w:pStyle w:val="ListParagraph"/>
        <w:widowControl/>
        <w:numPr>
          <w:ilvl w:val="0"/>
          <w:numId w:val="43"/>
        </w:numPr>
        <w:spacing w:line="240" w:lineRule="exact"/>
        <w:ind w:leftChars="0" w:left="840" w:right="23"/>
        <w:contextualSpacing/>
        <w:rPr>
          <w:rFonts w:ascii="Tahoma" w:hAnsi="Tahoma" w:cs="Tahoma"/>
          <w:sz w:val="20"/>
          <w:szCs w:val="20"/>
          <w:lang w:val="en-GB"/>
        </w:rPr>
      </w:pPr>
      <w:r>
        <w:rPr>
          <w:rFonts w:ascii="Tahoma" w:hAnsi="Tahoma" w:cs="Tahoma"/>
          <w:sz w:val="20"/>
          <w:szCs w:val="20"/>
          <w:lang w:val="en-GB"/>
        </w:rPr>
        <w:t>D</w:t>
      </w:r>
      <w:r w:rsidR="00784507" w:rsidRPr="006A7645">
        <w:rPr>
          <w:rFonts w:ascii="Tahoma" w:hAnsi="Tahoma" w:cs="Tahoma"/>
          <w:sz w:val="20"/>
          <w:szCs w:val="20"/>
          <w:lang w:val="en-GB"/>
        </w:rPr>
        <w:t>eveloping an annual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monitoring programme covering, in particular, the application of the required measures to prevent ML/FTP by the employees, agents and distributors who are in contact with customers, and implementing this programme;</w:t>
      </w:r>
    </w:p>
    <w:p w14:paraId="5EB3E3A8" w14:textId="2A7FBDA5" w:rsidR="00784507" w:rsidRPr="006A7645" w:rsidRDefault="002517AF" w:rsidP="00784507">
      <w:pPr>
        <w:pStyle w:val="ListParagraph"/>
        <w:widowControl/>
        <w:numPr>
          <w:ilvl w:val="0"/>
          <w:numId w:val="43"/>
        </w:numPr>
        <w:spacing w:line="240" w:lineRule="exact"/>
        <w:ind w:leftChars="0" w:left="840" w:right="23"/>
        <w:contextualSpacing/>
        <w:rPr>
          <w:rFonts w:ascii="Tahoma" w:hAnsi="Tahoma" w:cs="Tahoma"/>
          <w:sz w:val="20"/>
          <w:szCs w:val="20"/>
          <w:lang w:val="en-GB"/>
        </w:rPr>
      </w:pPr>
      <w:r>
        <w:rPr>
          <w:rFonts w:ascii="Tahoma" w:hAnsi="Tahoma" w:cs="Tahoma"/>
          <w:sz w:val="20"/>
          <w:szCs w:val="20"/>
          <w:lang w:val="en-GB"/>
        </w:rPr>
        <w:t>E</w:t>
      </w:r>
      <w:r w:rsidR="00784507" w:rsidRPr="006A7645">
        <w:rPr>
          <w:rFonts w:ascii="Tahoma" w:hAnsi="Tahoma" w:cs="Tahoma"/>
          <w:sz w:val="20"/>
          <w:szCs w:val="20"/>
          <w:lang w:val="en-GB"/>
        </w:rPr>
        <w:t>nsuring a proper flow of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-related information within the financial institution and guaranteeing feedback to the management bodies (board of directors and management committee/senior management) and to the supervisory authorities. In this regard, the AMLCO should establish an activity report and send it to the management committee (or to the senior management if there is no management committee) and to the board of directors at least once a year. In addition, the AMLCO should in any case bring the following to the </w:t>
      </w:r>
      <w:r w:rsidR="00784507" w:rsidRPr="006A7645">
        <w:rPr>
          <w:rFonts w:ascii="Tahoma" w:hAnsi="Tahoma" w:cs="Tahoma"/>
          <w:sz w:val="20"/>
          <w:szCs w:val="20"/>
          <w:lang w:val="en-GB"/>
        </w:rPr>
        <w:lastRenderedPageBreak/>
        <w:t>attention of the senior officer responsible for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(a) areas where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control measures should be implemented or improved; (b) proposals for appropriate improvements in line with point (a); (c) a progress report of major remediation programmes, at least once a year as part of the above-mentioned activity report, and information provided on an ad hoc basis or periodically - depending on improvements – on the level of exposure to ML/FTP risks and the measures taken or recommended to manage these risks effectively; (d) whether sufficient human and technical resources have been allocated to the AMLCO and, if not, whether they need to be supplemented.</w:t>
      </w:r>
    </w:p>
    <w:p w14:paraId="36317CAC" w14:textId="37CBA09E" w:rsidR="00784507" w:rsidRPr="006A7645" w:rsidRDefault="002517AF" w:rsidP="00784507">
      <w:pPr>
        <w:pStyle w:val="ListParagraph"/>
        <w:widowControl/>
        <w:numPr>
          <w:ilvl w:val="0"/>
          <w:numId w:val="43"/>
        </w:numPr>
        <w:spacing w:line="240" w:lineRule="exact"/>
        <w:ind w:leftChars="0" w:left="840" w:right="23"/>
        <w:contextualSpacing/>
        <w:rPr>
          <w:rFonts w:ascii="Tahoma" w:hAnsi="Tahoma" w:cs="Tahoma"/>
          <w:sz w:val="20"/>
          <w:szCs w:val="20"/>
          <w:lang w:val="en-GB"/>
        </w:rPr>
      </w:pPr>
      <w:r>
        <w:rPr>
          <w:rFonts w:ascii="Tahoma" w:hAnsi="Tahoma" w:cs="Tahoma"/>
          <w:sz w:val="20"/>
          <w:szCs w:val="20"/>
          <w:lang w:val="en-GB"/>
        </w:rPr>
        <w:t>T</w:t>
      </w:r>
      <w:r w:rsidR="00784507" w:rsidRPr="006A7645">
        <w:rPr>
          <w:rFonts w:ascii="Tahoma" w:hAnsi="Tahoma" w:cs="Tahoma"/>
          <w:sz w:val="20"/>
          <w:szCs w:val="20"/>
          <w:lang w:val="en-GB"/>
        </w:rPr>
        <w:t>o establish an activity report, in the format/template requested by the NBB, and send it to the management committee and to the board of directors at least once a year. A copy of this report should be sent to the NBB.</w:t>
      </w:r>
    </w:p>
    <w:p w14:paraId="2388A7C1" w14:textId="77777777" w:rsidR="00784507" w:rsidRPr="006A7645" w:rsidRDefault="00784507" w:rsidP="00784507">
      <w:pPr>
        <w:pStyle w:val="ListParagraph"/>
        <w:spacing w:line="240" w:lineRule="exact"/>
        <w:ind w:leftChars="0" w:left="720" w:right="23"/>
        <w:rPr>
          <w:rFonts w:ascii="Tahoma" w:hAnsi="Tahoma" w:cs="Tahoma"/>
          <w:sz w:val="20"/>
          <w:szCs w:val="20"/>
          <w:lang w:val="en-GB"/>
        </w:rPr>
      </w:pPr>
    </w:p>
    <w:p w14:paraId="4C9865B6" w14:textId="2AA3713A" w:rsidR="00784507" w:rsidRPr="006A7645" w:rsidRDefault="00784507" w:rsidP="00340426">
      <w:pPr>
        <w:pStyle w:val="ListParagraph"/>
        <w:widowControl/>
        <w:numPr>
          <w:ilvl w:val="0"/>
          <w:numId w:val="37"/>
        </w:numPr>
        <w:tabs>
          <w:tab w:val="left" w:pos="284"/>
        </w:tabs>
        <w:spacing w:line="240" w:lineRule="exact"/>
        <w:ind w:leftChars="0" w:left="142" w:right="23" w:hanging="142"/>
        <w:contextualSpacing/>
        <w:rPr>
          <w:rFonts w:ascii="Tahoma" w:hAnsi="Tahoma" w:cs="Tahoma"/>
          <w:b/>
          <w:bCs/>
          <w:sz w:val="20"/>
          <w:szCs w:val="20"/>
          <w:lang w:val="en-GB"/>
        </w:rPr>
      </w:pPr>
      <w:r w:rsidRPr="006A7645">
        <w:rPr>
          <w:rFonts w:ascii="Tahoma" w:hAnsi="Tahoma" w:cs="Tahoma"/>
          <w:b/>
          <w:bCs/>
          <w:sz w:val="20"/>
          <w:szCs w:val="20"/>
          <w:lang w:val="en-GB"/>
        </w:rPr>
        <w:t xml:space="preserve">The Board of Directors </w:t>
      </w:r>
    </w:p>
    <w:p w14:paraId="503C5F91" w14:textId="77777777" w:rsidR="00B307C4" w:rsidRPr="006A7645" w:rsidRDefault="00B307C4" w:rsidP="00B307C4">
      <w:pPr>
        <w:pStyle w:val="ListParagraph"/>
        <w:widowControl/>
        <w:spacing w:line="240" w:lineRule="exact"/>
        <w:ind w:leftChars="0" w:left="284" w:right="23"/>
        <w:contextualSpacing/>
        <w:rPr>
          <w:rFonts w:ascii="Tahoma" w:hAnsi="Tahoma" w:cs="Tahoma"/>
          <w:b/>
          <w:bCs/>
          <w:sz w:val="20"/>
          <w:szCs w:val="20"/>
          <w:lang w:val="en-GB"/>
        </w:rPr>
      </w:pPr>
    </w:p>
    <w:p w14:paraId="0D82E5B7" w14:textId="59B749FC" w:rsidR="00784507" w:rsidRPr="006A7645" w:rsidRDefault="00784507" w:rsidP="00784507">
      <w:pPr>
        <w:spacing w:line="240" w:lineRule="exact"/>
        <w:ind w:left="17" w:right="23"/>
        <w:rPr>
          <w:rFonts w:ascii="Tahoma" w:hAnsi="Tahoma" w:cs="Tahoma"/>
          <w:sz w:val="20"/>
          <w:szCs w:val="20"/>
          <w:lang w:val="en-GB"/>
        </w:rPr>
      </w:pPr>
      <w:r w:rsidRPr="006A7645">
        <w:rPr>
          <w:rFonts w:ascii="Tahoma" w:hAnsi="Tahoma" w:cs="Tahoma"/>
          <w:sz w:val="20"/>
          <w:szCs w:val="20"/>
          <w:lang w:val="en-GB"/>
        </w:rPr>
        <w:t>A financial institution’s board of directors has the following AML/</w:t>
      </w:r>
      <w:r w:rsidR="00D97F90" w:rsidRPr="006A7645">
        <w:rPr>
          <w:rFonts w:ascii="Tahoma" w:hAnsi="Tahoma" w:cs="Tahoma"/>
          <w:sz w:val="20"/>
          <w:szCs w:val="20"/>
          <w:lang w:val="en-GB"/>
        </w:rPr>
        <w:t>CFT</w:t>
      </w:r>
      <w:r w:rsidRPr="006A7645">
        <w:rPr>
          <w:rFonts w:ascii="Tahoma" w:hAnsi="Tahoma" w:cs="Tahoma"/>
          <w:sz w:val="20"/>
          <w:szCs w:val="20"/>
          <w:lang w:val="en-GB"/>
        </w:rPr>
        <w:t xml:space="preserve"> tasks:</w:t>
      </w:r>
    </w:p>
    <w:p w14:paraId="71B354DA" w14:textId="19DDABA9" w:rsidR="00784507" w:rsidRPr="006A7645" w:rsidRDefault="002517AF" w:rsidP="00784507">
      <w:pPr>
        <w:pStyle w:val="ListParagraph"/>
        <w:widowControl/>
        <w:numPr>
          <w:ilvl w:val="0"/>
          <w:numId w:val="44"/>
        </w:numPr>
        <w:spacing w:line="240" w:lineRule="exact"/>
        <w:ind w:leftChars="0" w:left="832" w:right="23" w:hanging="352"/>
        <w:contextualSpacing/>
        <w:rPr>
          <w:rFonts w:ascii="Tahoma" w:hAnsi="Tahoma" w:cs="Tahoma"/>
          <w:sz w:val="20"/>
          <w:szCs w:val="20"/>
          <w:lang w:val="en-GB"/>
        </w:rPr>
      </w:pPr>
      <w:r>
        <w:rPr>
          <w:rFonts w:ascii="Tahoma" w:hAnsi="Tahoma" w:cs="Tahoma"/>
          <w:sz w:val="20"/>
          <w:szCs w:val="20"/>
          <w:lang w:val="en-GB"/>
        </w:rPr>
        <w:t>D</w:t>
      </w:r>
      <w:r w:rsidR="00784507" w:rsidRPr="006A7645">
        <w:rPr>
          <w:rFonts w:ascii="Tahoma" w:hAnsi="Tahoma" w:cs="Tahoma"/>
          <w:sz w:val="20"/>
          <w:szCs w:val="20"/>
          <w:lang w:val="en-GB"/>
        </w:rPr>
        <w:t>eciding on the overall ML/FT risk management strategy of the financial institution concerned. The board of directors should therefore have appropriate knowledge, skills and experience to form an overall view of the policy implemented and the ML/FT risks associated with the activities performed and the business model, including knowledge of the statutory and regulatory framework for the prevention of ML/FTP;</w:t>
      </w:r>
    </w:p>
    <w:p w14:paraId="07CB11F4" w14:textId="680F44AA" w:rsidR="00784507" w:rsidRPr="006A7645" w:rsidRDefault="002517AF" w:rsidP="00784507">
      <w:pPr>
        <w:pStyle w:val="ListParagraph"/>
        <w:widowControl/>
        <w:numPr>
          <w:ilvl w:val="0"/>
          <w:numId w:val="44"/>
        </w:numPr>
        <w:spacing w:line="240" w:lineRule="exact"/>
        <w:ind w:leftChars="0" w:left="832" w:right="23" w:hanging="352"/>
        <w:contextualSpacing/>
        <w:rPr>
          <w:rFonts w:ascii="Tahoma" w:hAnsi="Tahoma" w:cs="Tahoma"/>
          <w:sz w:val="20"/>
          <w:szCs w:val="20"/>
          <w:lang w:val="en-GB"/>
        </w:rPr>
      </w:pPr>
      <w:r>
        <w:rPr>
          <w:rFonts w:ascii="Tahoma" w:hAnsi="Tahoma" w:cs="Tahoma"/>
          <w:sz w:val="20"/>
          <w:szCs w:val="20"/>
          <w:lang w:val="en-GB"/>
        </w:rPr>
        <w:t>V</w:t>
      </w:r>
      <w:r w:rsidR="00784507" w:rsidRPr="006A7645">
        <w:rPr>
          <w:rFonts w:ascii="Tahoma" w:hAnsi="Tahoma" w:cs="Tahoma"/>
          <w:sz w:val="20"/>
          <w:szCs w:val="20"/>
          <w:lang w:val="en-GB"/>
        </w:rPr>
        <w:t>alidating the institution’s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policy; </w:t>
      </w:r>
    </w:p>
    <w:p w14:paraId="147C80B4" w14:textId="2CCA1888" w:rsidR="00784507" w:rsidRPr="006A7645" w:rsidRDefault="002517AF" w:rsidP="00784507">
      <w:pPr>
        <w:pStyle w:val="ListParagraph"/>
        <w:widowControl/>
        <w:numPr>
          <w:ilvl w:val="0"/>
          <w:numId w:val="44"/>
        </w:numPr>
        <w:spacing w:line="240" w:lineRule="exact"/>
        <w:ind w:leftChars="0" w:left="832" w:right="23" w:hanging="352"/>
        <w:contextualSpacing/>
        <w:rPr>
          <w:rFonts w:ascii="Tahoma" w:hAnsi="Tahoma" w:cs="Tahoma"/>
          <w:sz w:val="20"/>
          <w:szCs w:val="20"/>
          <w:lang w:val="en-GB"/>
        </w:rPr>
      </w:pPr>
      <w:r>
        <w:rPr>
          <w:rFonts w:ascii="Tahoma" w:hAnsi="Tahoma" w:cs="Tahoma"/>
          <w:sz w:val="20"/>
          <w:szCs w:val="20"/>
          <w:lang w:val="en-GB"/>
        </w:rPr>
        <w:t>B</w:t>
      </w:r>
      <w:r w:rsidR="00784507" w:rsidRPr="006A7645">
        <w:rPr>
          <w:rFonts w:ascii="Tahoma" w:hAnsi="Tahoma" w:cs="Tahoma"/>
          <w:sz w:val="20"/>
          <w:szCs w:val="20"/>
          <w:lang w:val="en-GB"/>
        </w:rPr>
        <w:t>eing informed of the results and updates of the institution’s overall ML/FT risk assessment;</w:t>
      </w:r>
    </w:p>
    <w:p w14:paraId="076242AD" w14:textId="601BED06" w:rsidR="00784507" w:rsidRPr="006A7645" w:rsidRDefault="002517AF" w:rsidP="00784507">
      <w:pPr>
        <w:pStyle w:val="ListParagraph"/>
        <w:widowControl/>
        <w:numPr>
          <w:ilvl w:val="0"/>
          <w:numId w:val="44"/>
        </w:numPr>
        <w:spacing w:line="240" w:lineRule="exact"/>
        <w:ind w:leftChars="0" w:left="832" w:right="23" w:hanging="352"/>
        <w:contextualSpacing/>
        <w:rPr>
          <w:rFonts w:ascii="Tahoma" w:hAnsi="Tahoma" w:cs="Tahoma"/>
          <w:sz w:val="20"/>
          <w:szCs w:val="20"/>
          <w:lang w:val="en-GB"/>
        </w:rPr>
      </w:pPr>
      <w:r>
        <w:rPr>
          <w:rFonts w:ascii="Tahoma" w:hAnsi="Tahoma" w:cs="Tahoma"/>
          <w:sz w:val="20"/>
          <w:szCs w:val="20"/>
          <w:lang w:val="en-GB"/>
        </w:rPr>
        <w:t>R</w:t>
      </w:r>
      <w:r w:rsidR="00784507" w:rsidRPr="006A7645">
        <w:rPr>
          <w:rFonts w:ascii="Tahoma" w:hAnsi="Tahoma" w:cs="Tahoma"/>
          <w:sz w:val="20"/>
          <w:szCs w:val="20"/>
          <w:lang w:val="en-GB"/>
        </w:rPr>
        <w:t>eviewing the AMLCO’s activity report at least once a year and, more frequently in the interim, taking note of activities that expose the financial institution to higher ML/FTP risks;</w:t>
      </w:r>
    </w:p>
    <w:p w14:paraId="5FA48CAF" w14:textId="2A60F44B" w:rsidR="00784507" w:rsidRPr="006A7645" w:rsidRDefault="002517AF" w:rsidP="00784507">
      <w:pPr>
        <w:pStyle w:val="ListParagraph"/>
        <w:widowControl/>
        <w:numPr>
          <w:ilvl w:val="0"/>
          <w:numId w:val="44"/>
        </w:numPr>
        <w:spacing w:line="240" w:lineRule="exact"/>
        <w:ind w:leftChars="0" w:left="832" w:right="23" w:hanging="352"/>
        <w:contextualSpacing/>
        <w:rPr>
          <w:rFonts w:ascii="Tahoma" w:hAnsi="Tahoma" w:cs="Tahoma"/>
          <w:sz w:val="20"/>
          <w:szCs w:val="20"/>
          <w:lang w:val="en-GB"/>
        </w:rPr>
      </w:pPr>
      <w:r>
        <w:rPr>
          <w:rFonts w:ascii="Tahoma" w:hAnsi="Tahoma" w:cs="Tahoma"/>
          <w:sz w:val="20"/>
          <w:szCs w:val="20"/>
          <w:lang w:val="en-GB"/>
        </w:rPr>
        <w:t>A</w:t>
      </w:r>
      <w:r w:rsidR="00784507" w:rsidRPr="006A7645">
        <w:rPr>
          <w:rFonts w:ascii="Tahoma" w:hAnsi="Tahoma" w:cs="Tahoma"/>
          <w:sz w:val="20"/>
          <w:szCs w:val="20"/>
          <w:lang w:val="en-GB"/>
        </w:rPr>
        <w:t>ssessing at least once a year the proper functioning of the compliance function, including its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component - inter alia on the basis of the conclusions of any internal and/or external audits performed on it - ensuring in particular the adequacy of the human and technical resources allocated to the AMLCO function.</w:t>
      </w:r>
    </w:p>
    <w:p w14:paraId="0BD2ED63" w14:textId="77777777" w:rsidR="00B307C4" w:rsidRPr="006A7645" w:rsidRDefault="00B307C4" w:rsidP="00B307C4">
      <w:pPr>
        <w:pStyle w:val="ListParagraph"/>
        <w:widowControl/>
        <w:spacing w:line="240" w:lineRule="exact"/>
        <w:ind w:leftChars="0" w:left="832" w:right="23"/>
        <w:contextualSpacing/>
        <w:rPr>
          <w:rFonts w:ascii="Tahoma" w:hAnsi="Tahoma" w:cs="Tahoma"/>
          <w:sz w:val="20"/>
          <w:szCs w:val="20"/>
          <w:lang w:val="en-GB"/>
        </w:rPr>
      </w:pPr>
    </w:p>
    <w:p w14:paraId="46B60B5D" w14:textId="68EBF510" w:rsidR="00784507" w:rsidRPr="006A7645" w:rsidRDefault="00784507" w:rsidP="00784507">
      <w:pPr>
        <w:spacing w:line="240" w:lineRule="exact"/>
        <w:ind w:left="17" w:right="23"/>
        <w:rPr>
          <w:rFonts w:ascii="Tahoma" w:hAnsi="Tahoma" w:cs="Tahoma"/>
          <w:sz w:val="20"/>
          <w:szCs w:val="20"/>
          <w:lang w:val="en-GB"/>
        </w:rPr>
      </w:pPr>
      <w:r w:rsidRPr="006A7645">
        <w:rPr>
          <w:rFonts w:ascii="Tahoma" w:hAnsi="Tahoma" w:cs="Tahoma"/>
          <w:sz w:val="20"/>
          <w:szCs w:val="20"/>
          <w:lang w:val="en-GB"/>
        </w:rPr>
        <w:t>The board of directors should have access to and consider high-quality and detailed data and information so that it is able to perform its AML/</w:t>
      </w:r>
      <w:r w:rsidR="00D97F90" w:rsidRPr="006A7645">
        <w:rPr>
          <w:rFonts w:ascii="Tahoma" w:hAnsi="Tahoma" w:cs="Tahoma"/>
          <w:sz w:val="20"/>
          <w:szCs w:val="20"/>
          <w:lang w:val="en-GB"/>
        </w:rPr>
        <w:t>CFT</w:t>
      </w:r>
      <w:r w:rsidRPr="006A7645">
        <w:rPr>
          <w:rFonts w:ascii="Tahoma" w:hAnsi="Tahoma" w:cs="Tahoma"/>
          <w:sz w:val="20"/>
          <w:szCs w:val="20"/>
          <w:lang w:val="en-GB"/>
        </w:rPr>
        <w:t xml:space="preserve"> tasks effectively. At a minimum, the board of directors should have timely and direct access to the AMLCO’s activity report, the report of the internal audit function, the findings and conclusions of external auditors where applicable, as well as findings of the supervisor, relevant communications with CTIF-CFI and supervisory measures or administrative sanctions imposed.</w:t>
      </w:r>
    </w:p>
    <w:p w14:paraId="50DEB6F1" w14:textId="77777777" w:rsidR="00784507" w:rsidRPr="006A7645" w:rsidRDefault="00784507" w:rsidP="00784507">
      <w:pPr>
        <w:spacing w:line="240" w:lineRule="exact"/>
        <w:ind w:left="17" w:right="23"/>
        <w:rPr>
          <w:rFonts w:ascii="Tahoma" w:hAnsi="Tahoma" w:cs="Tahoma"/>
          <w:sz w:val="20"/>
          <w:szCs w:val="20"/>
          <w:lang w:val="en-GB"/>
        </w:rPr>
      </w:pPr>
    </w:p>
    <w:p w14:paraId="0B1D1252" w14:textId="05E75817" w:rsidR="00784507" w:rsidRPr="006A7645" w:rsidRDefault="00784507" w:rsidP="00340426">
      <w:pPr>
        <w:pStyle w:val="ListParagraph"/>
        <w:widowControl/>
        <w:numPr>
          <w:ilvl w:val="0"/>
          <w:numId w:val="37"/>
        </w:numPr>
        <w:spacing w:line="240" w:lineRule="exact"/>
        <w:ind w:leftChars="0" w:left="284" w:right="23" w:hanging="284"/>
        <w:contextualSpacing/>
        <w:rPr>
          <w:rFonts w:ascii="Tahoma" w:hAnsi="Tahoma" w:cs="Tahoma"/>
          <w:b/>
          <w:bCs/>
          <w:sz w:val="20"/>
          <w:szCs w:val="20"/>
          <w:lang w:val="en-GB"/>
        </w:rPr>
      </w:pPr>
      <w:r w:rsidRPr="006A7645">
        <w:rPr>
          <w:rFonts w:ascii="Tahoma" w:hAnsi="Tahoma" w:cs="Tahoma"/>
          <w:b/>
          <w:bCs/>
          <w:sz w:val="20"/>
          <w:szCs w:val="20"/>
          <w:lang w:val="en-GB"/>
        </w:rPr>
        <w:t>The Management Committee</w:t>
      </w:r>
    </w:p>
    <w:p w14:paraId="159935D7" w14:textId="77777777" w:rsidR="00340426" w:rsidRPr="006A7645" w:rsidRDefault="00340426" w:rsidP="00340426">
      <w:pPr>
        <w:pStyle w:val="ListParagraph"/>
        <w:widowControl/>
        <w:spacing w:line="240" w:lineRule="exact"/>
        <w:ind w:leftChars="0" w:left="284" w:right="23"/>
        <w:contextualSpacing/>
        <w:rPr>
          <w:rFonts w:ascii="Tahoma" w:hAnsi="Tahoma" w:cs="Tahoma"/>
          <w:b/>
          <w:bCs/>
          <w:sz w:val="20"/>
          <w:szCs w:val="20"/>
          <w:lang w:val="en-GB"/>
        </w:rPr>
      </w:pPr>
    </w:p>
    <w:p w14:paraId="7554944D" w14:textId="140B6E62" w:rsidR="00784507" w:rsidRPr="006A7645" w:rsidRDefault="00784507" w:rsidP="00784507">
      <w:pPr>
        <w:spacing w:line="240" w:lineRule="exact"/>
        <w:ind w:left="17" w:right="23"/>
        <w:rPr>
          <w:rFonts w:ascii="Tahoma" w:hAnsi="Tahoma" w:cs="Tahoma"/>
          <w:sz w:val="20"/>
          <w:szCs w:val="20"/>
          <w:lang w:val="en-GB"/>
        </w:rPr>
      </w:pPr>
      <w:r w:rsidRPr="006A7645">
        <w:rPr>
          <w:rFonts w:ascii="Tahoma" w:hAnsi="Tahoma" w:cs="Tahoma"/>
          <w:sz w:val="20"/>
          <w:szCs w:val="20"/>
          <w:lang w:val="en-GB"/>
        </w:rPr>
        <w:t>A financial institution’s management committee or, if it does not have a management committee, its senior management has the following AML/</w:t>
      </w:r>
      <w:r w:rsidR="00D97F90" w:rsidRPr="006A7645">
        <w:rPr>
          <w:rFonts w:ascii="Tahoma" w:hAnsi="Tahoma" w:cs="Tahoma"/>
          <w:sz w:val="20"/>
          <w:szCs w:val="20"/>
          <w:lang w:val="en-GB"/>
        </w:rPr>
        <w:t>CFT</w:t>
      </w:r>
      <w:r w:rsidRPr="006A7645">
        <w:rPr>
          <w:rFonts w:ascii="Tahoma" w:hAnsi="Tahoma" w:cs="Tahoma"/>
          <w:sz w:val="20"/>
          <w:szCs w:val="20"/>
          <w:lang w:val="en-GB"/>
        </w:rPr>
        <w:t xml:space="preserve"> tasks:</w:t>
      </w:r>
    </w:p>
    <w:p w14:paraId="48CA36DF" w14:textId="6488B769" w:rsidR="00784507" w:rsidRPr="006A7645" w:rsidRDefault="002517AF" w:rsidP="00784507">
      <w:pPr>
        <w:pStyle w:val="ListParagraph"/>
        <w:widowControl/>
        <w:numPr>
          <w:ilvl w:val="0"/>
          <w:numId w:val="45"/>
        </w:numPr>
        <w:spacing w:line="240" w:lineRule="exact"/>
        <w:ind w:leftChars="0" w:left="832" w:right="23" w:hanging="352"/>
        <w:contextualSpacing/>
        <w:rPr>
          <w:rFonts w:ascii="Tahoma" w:hAnsi="Tahoma" w:cs="Tahoma"/>
          <w:sz w:val="20"/>
          <w:szCs w:val="20"/>
          <w:lang w:val="en-GB"/>
        </w:rPr>
      </w:pPr>
      <w:r>
        <w:rPr>
          <w:rFonts w:ascii="Tahoma" w:hAnsi="Tahoma" w:cs="Tahoma"/>
          <w:sz w:val="20"/>
          <w:szCs w:val="20"/>
          <w:lang w:val="en-GB"/>
        </w:rPr>
        <w:t>I</w:t>
      </w:r>
      <w:r w:rsidR="00784507" w:rsidRPr="006A7645">
        <w:rPr>
          <w:rFonts w:ascii="Tahoma" w:hAnsi="Tahoma" w:cs="Tahoma"/>
          <w:sz w:val="20"/>
          <w:szCs w:val="20"/>
          <w:lang w:val="en-GB"/>
        </w:rPr>
        <w:t>mplementing, at the instigation of the senior officer responsible for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the organisational and operational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structure necessary to comply with Article 8 of the Anti-Money Laundering Law and with the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strategy defined by the board of directors, paying particular attention to the adequacy of the human and technical resources allocated to the AMLCO function;</w:t>
      </w:r>
    </w:p>
    <w:p w14:paraId="10A7EE3E" w14:textId="6BF13300" w:rsidR="00784507" w:rsidRPr="006A7645" w:rsidRDefault="002517AF" w:rsidP="00784507">
      <w:pPr>
        <w:pStyle w:val="ListParagraph"/>
        <w:widowControl/>
        <w:numPr>
          <w:ilvl w:val="0"/>
          <w:numId w:val="45"/>
        </w:numPr>
        <w:spacing w:line="240" w:lineRule="exact"/>
        <w:ind w:leftChars="0" w:left="832" w:right="23" w:hanging="352"/>
        <w:contextualSpacing/>
        <w:rPr>
          <w:rFonts w:ascii="Tahoma" w:hAnsi="Tahoma" w:cs="Tahoma"/>
          <w:sz w:val="20"/>
          <w:szCs w:val="20"/>
          <w:lang w:val="en-GB"/>
        </w:rPr>
      </w:pPr>
      <w:r>
        <w:rPr>
          <w:rFonts w:ascii="Tahoma" w:hAnsi="Tahoma" w:cs="Tahoma"/>
          <w:sz w:val="20"/>
          <w:szCs w:val="20"/>
          <w:lang w:val="en-GB"/>
        </w:rPr>
        <w:t>A</w:t>
      </w:r>
      <w:r w:rsidR="00784507" w:rsidRPr="006A7645">
        <w:rPr>
          <w:rFonts w:ascii="Tahoma" w:hAnsi="Tahoma" w:cs="Tahoma"/>
          <w:sz w:val="20"/>
          <w:szCs w:val="20"/>
          <w:lang w:val="en-GB"/>
        </w:rPr>
        <w:t>pproving the internal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procedures. Minor changes to these procedures could be validated by the senior officer responsible for AML/</w:t>
      </w:r>
      <w:r w:rsidR="00D97F90" w:rsidRPr="006A7645">
        <w:rPr>
          <w:rFonts w:ascii="Tahoma" w:hAnsi="Tahoma" w:cs="Tahoma"/>
          <w:sz w:val="20"/>
          <w:szCs w:val="20"/>
          <w:lang w:val="en-GB"/>
        </w:rPr>
        <w:t>CFT</w:t>
      </w:r>
      <w:r w:rsidR="00784507" w:rsidRPr="006A7645">
        <w:rPr>
          <w:rFonts w:ascii="Tahoma" w:hAnsi="Tahoma" w:cs="Tahoma"/>
          <w:sz w:val="20"/>
          <w:szCs w:val="20"/>
          <w:lang w:val="en-GB"/>
        </w:rPr>
        <w:t>;</w:t>
      </w:r>
    </w:p>
    <w:p w14:paraId="156B8336" w14:textId="1F3E6A82" w:rsidR="00784507" w:rsidRPr="006A7645" w:rsidRDefault="002517AF" w:rsidP="00784507">
      <w:pPr>
        <w:pStyle w:val="ListParagraph"/>
        <w:widowControl/>
        <w:numPr>
          <w:ilvl w:val="0"/>
          <w:numId w:val="45"/>
        </w:numPr>
        <w:spacing w:line="240" w:lineRule="exact"/>
        <w:ind w:leftChars="0" w:left="832" w:right="23" w:hanging="352"/>
        <w:contextualSpacing/>
        <w:rPr>
          <w:rFonts w:ascii="Tahoma" w:hAnsi="Tahoma" w:cs="Tahoma"/>
          <w:sz w:val="20"/>
          <w:szCs w:val="20"/>
          <w:lang w:val="en-GB"/>
        </w:rPr>
      </w:pPr>
      <w:r>
        <w:rPr>
          <w:rFonts w:ascii="Tahoma" w:hAnsi="Tahoma" w:cs="Tahoma"/>
          <w:sz w:val="20"/>
          <w:szCs w:val="20"/>
          <w:lang w:val="en-GB"/>
        </w:rPr>
        <w:t>I</w:t>
      </w:r>
      <w:r w:rsidR="00784507" w:rsidRPr="006A7645">
        <w:rPr>
          <w:rFonts w:ascii="Tahoma" w:hAnsi="Tahoma" w:cs="Tahoma"/>
          <w:sz w:val="20"/>
          <w:szCs w:val="20"/>
          <w:lang w:val="en-GB"/>
        </w:rPr>
        <w:t>mplementing adequate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-related internal control mechanisms;  </w:t>
      </w:r>
    </w:p>
    <w:p w14:paraId="58957B6B" w14:textId="3888B918" w:rsidR="00784507" w:rsidRPr="006A7645" w:rsidRDefault="002517AF" w:rsidP="00784507">
      <w:pPr>
        <w:pStyle w:val="ListParagraph"/>
        <w:widowControl/>
        <w:numPr>
          <w:ilvl w:val="0"/>
          <w:numId w:val="45"/>
        </w:numPr>
        <w:spacing w:line="240" w:lineRule="exact"/>
        <w:ind w:leftChars="0" w:left="832" w:right="23" w:hanging="352"/>
        <w:contextualSpacing/>
        <w:rPr>
          <w:rFonts w:ascii="Tahoma" w:hAnsi="Tahoma" w:cs="Tahoma"/>
          <w:sz w:val="20"/>
          <w:szCs w:val="20"/>
          <w:lang w:val="en-GB"/>
        </w:rPr>
      </w:pPr>
      <w:r>
        <w:rPr>
          <w:rFonts w:ascii="Tahoma" w:hAnsi="Tahoma" w:cs="Tahoma"/>
          <w:sz w:val="20"/>
          <w:szCs w:val="20"/>
          <w:lang w:val="en-GB"/>
        </w:rPr>
        <w:t>A</w:t>
      </w:r>
      <w:r w:rsidR="00784507" w:rsidRPr="006A7645">
        <w:rPr>
          <w:rFonts w:ascii="Tahoma" w:hAnsi="Tahoma" w:cs="Tahoma"/>
          <w:sz w:val="20"/>
          <w:szCs w:val="20"/>
          <w:lang w:val="en-GB"/>
        </w:rPr>
        <w:t>pproving the AMLCO’s annual activity report and being in regular contact with the AMLCO;</w:t>
      </w:r>
    </w:p>
    <w:p w14:paraId="79AC98AD" w14:textId="7031AC93" w:rsidR="00784507" w:rsidRPr="006A7645" w:rsidRDefault="002517AF" w:rsidP="00784507">
      <w:pPr>
        <w:pStyle w:val="ListParagraph"/>
        <w:widowControl/>
        <w:numPr>
          <w:ilvl w:val="0"/>
          <w:numId w:val="45"/>
        </w:numPr>
        <w:spacing w:line="240" w:lineRule="exact"/>
        <w:ind w:leftChars="0" w:left="832" w:right="23" w:hanging="352"/>
        <w:contextualSpacing/>
        <w:rPr>
          <w:rFonts w:ascii="Tahoma" w:hAnsi="Tahoma" w:cs="Tahoma"/>
          <w:sz w:val="20"/>
          <w:szCs w:val="20"/>
          <w:lang w:val="en-GB"/>
        </w:rPr>
      </w:pPr>
      <w:r>
        <w:rPr>
          <w:rFonts w:ascii="Tahoma" w:hAnsi="Tahoma" w:cs="Tahoma"/>
          <w:sz w:val="20"/>
          <w:szCs w:val="20"/>
          <w:lang w:val="en-GB"/>
        </w:rPr>
        <w:t>A</w:t>
      </w:r>
      <w:r w:rsidR="00784507" w:rsidRPr="006A7645">
        <w:rPr>
          <w:rFonts w:ascii="Tahoma" w:hAnsi="Tahoma" w:cs="Tahoma"/>
          <w:sz w:val="20"/>
          <w:szCs w:val="20"/>
          <w:lang w:val="en-GB"/>
        </w:rPr>
        <w:t>nnually assessing the efficiency of its governance system, including the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policy; </w:t>
      </w:r>
    </w:p>
    <w:p w14:paraId="6D6A18C2" w14:textId="3CB681F5" w:rsidR="00784507" w:rsidRPr="006A7645" w:rsidRDefault="002517AF" w:rsidP="00784507">
      <w:pPr>
        <w:pStyle w:val="ListParagraph"/>
        <w:widowControl/>
        <w:numPr>
          <w:ilvl w:val="0"/>
          <w:numId w:val="45"/>
        </w:numPr>
        <w:spacing w:line="240" w:lineRule="exact"/>
        <w:ind w:leftChars="0" w:left="832" w:right="23" w:hanging="352"/>
        <w:contextualSpacing/>
        <w:rPr>
          <w:rFonts w:ascii="Tahoma" w:hAnsi="Tahoma" w:cs="Tahoma"/>
          <w:sz w:val="20"/>
          <w:szCs w:val="20"/>
          <w:lang w:val="en-GB"/>
        </w:rPr>
      </w:pPr>
      <w:r>
        <w:rPr>
          <w:rFonts w:ascii="Tahoma" w:hAnsi="Tahoma" w:cs="Tahoma"/>
          <w:sz w:val="20"/>
          <w:szCs w:val="20"/>
          <w:lang w:val="en-GB"/>
        </w:rPr>
        <w:t>E</w:t>
      </w:r>
      <w:r w:rsidR="00784507" w:rsidRPr="006A7645">
        <w:rPr>
          <w:rFonts w:ascii="Tahoma" w:hAnsi="Tahoma" w:cs="Tahoma"/>
          <w:sz w:val="20"/>
          <w:szCs w:val="20"/>
          <w:lang w:val="en-GB"/>
        </w:rPr>
        <w:t>nsuring proper AML/</w:t>
      </w:r>
      <w:r w:rsidR="00D97F90" w:rsidRPr="006A7645">
        <w:rPr>
          <w:rFonts w:ascii="Tahoma" w:hAnsi="Tahoma" w:cs="Tahoma"/>
          <w:sz w:val="20"/>
          <w:szCs w:val="20"/>
          <w:lang w:val="en-GB"/>
        </w:rPr>
        <w:t>CFT</w:t>
      </w:r>
      <w:r w:rsidR="00784507" w:rsidRPr="006A7645">
        <w:rPr>
          <w:rFonts w:ascii="Tahoma" w:hAnsi="Tahoma" w:cs="Tahoma"/>
          <w:sz w:val="20"/>
          <w:szCs w:val="20"/>
          <w:lang w:val="en-GB"/>
        </w:rPr>
        <w:t xml:space="preserve"> reporting to both the board of directors and the NBB;</w:t>
      </w:r>
    </w:p>
    <w:p w14:paraId="1A44CAAE" w14:textId="40A465E7" w:rsidR="00784507" w:rsidRPr="006A7645" w:rsidRDefault="002517AF" w:rsidP="00784507">
      <w:pPr>
        <w:pStyle w:val="ListParagraph"/>
        <w:widowControl/>
        <w:numPr>
          <w:ilvl w:val="0"/>
          <w:numId w:val="45"/>
        </w:numPr>
        <w:spacing w:line="240" w:lineRule="exact"/>
        <w:ind w:leftChars="0" w:left="832" w:right="23" w:hanging="352"/>
        <w:contextualSpacing/>
        <w:rPr>
          <w:rFonts w:ascii="Tahoma" w:hAnsi="Tahoma" w:cs="Tahoma"/>
          <w:sz w:val="20"/>
          <w:szCs w:val="20"/>
          <w:lang w:val="en-GB"/>
        </w:rPr>
      </w:pPr>
      <w:r>
        <w:rPr>
          <w:rFonts w:ascii="Tahoma" w:hAnsi="Tahoma" w:cs="Tahoma"/>
          <w:sz w:val="20"/>
          <w:szCs w:val="20"/>
          <w:lang w:val="en-GB"/>
        </w:rPr>
        <w:t>E</w:t>
      </w:r>
      <w:r w:rsidR="00784507" w:rsidRPr="006A7645">
        <w:rPr>
          <w:rFonts w:ascii="Tahoma" w:hAnsi="Tahoma" w:cs="Tahoma"/>
          <w:sz w:val="20"/>
          <w:szCs w:val="20"/>
          <w:lang w:val="en-GB"/>
        </w:rPr>
        <w:t>nsuring that any outsourcing of the AMLCO’s operational tasks complies with applicable regulations and that it receives regular reports from the service provider.</w:t>
      </w:r>
    </w:p>
    <w:p w14:paraId="5C2046F5" w14:textId="04272BC6" w:rsidR="00784507" w:rsidRPr="006A7645" w:rsidRDefault="00784507" w:rsidP="00784507">
      <w:pPr>
        <w:spacing w:line="240" w:lineRule="exact"/>
        <w:ind w:right="23"/>
        <w:rPr>
          <w:rFonts w:ascii="Tahoma" w:hAnsi="Tahoma" w:cs="Tahoma"/>
          <w:b/>
          <w:bCs/>
          <w:sz w:val="20"/>
          <w:szCs w:val="20"/>
          <w:lang w:val="en-GB"/>
        </w:rPr>
      </w:pPr>
    </w:p>
    <w:p w14:paraId="5D4F055C" w14:textId="77777777" w:rsidR="00784507" w:rsidRPr="006A7645" w:rsidRDefault="00784507" w:rsidP="00340426">
      <w:pPr>
        <w:pStyle w:val="ListParagraph"/>
        <w:widowControl/>
        <w:numPr>
          <w:ilvl w:val="0"/>
          <w:numId w:val="37"/>
        </w:numPr>
        <w:spacing w:line="240" w:lineRule="exact"/>
        <w:ind w:leftChars="0" w:left="284" w:right="23" w:hanging="284"/>
        <w:contextualSpacing/>
        <w:rPr>
          <w:rFonts w:ascii="Tahoma" w:hAnsi="Tahoma" w:cs="Tahoma"/>
          <w:b/>
          <w:bCs/>
          <w:sz w:val="20"/>
          <w:szCs w:val="20"/>
          <w:lang w:val="en-GB"/>
        </w:rPr>
      </w:pPr>
      <w:r w:rsidRPr="006A7645">
        <w:rPr>
          <w:rFonts w:ascii="Tahoma" w:hAnsi="Tahoma" w:cs="Tahoma"/>
          <w:b/>
          <w:bCs/>
          <w:sz w:val="20"/>
          <w:szCs w:val="20"/>
          <w:lang w:val="en-GB"/>
        </w:rPr>
        <w:t>Adherence to compliance rules</w:t>
      </w:r>
    </w:p>
    <w:p w14:paraId="7404D749" w14:textId="77777777" w:rsidR="00340426" w:rsidRPr="006A7645" w:rsidRDefault="00340426" w:rsidP="00340426">
      <w:pPr>
        <w:pStyle w:val="ListParagraph"/>
        <w:widowControl/>
        <w:spacing w:line="240" w:lineRule="exact"/>
        <w:ind w:leftChars="0" w:left="284" w:right="23"/>
        <w:contextualSpacing/>
        <w:rPr>
          <w:rFonts w:ascii="Tahoma" w:hAnsi="Tahoma" w:cs="Tahoma"/>
          <w:b/>
          <w:bCs/>
          <w:sz w:val="20"/>
          <w:szCs w:val="20"/>
          <w:lang w:val="en-GB"/>
        </w:rPr>
      </w:pPr>
    </w:p>
    <w:p w14:paraId="3B8D8AE4" w14:textId="266882BA" w:rsidR="00784507" w:rsidRPr="006A7645" w:rsidRDefault="00784507" w:rsidP="00784507">
      <w:pPr>
        <w:spacing w:line="240" w:lineRule="exact"/>
        <w:ind w:left="17" w:right="23"/>
        <w:rPr>
          <w:rFonts w:ascii="Tahoma" w:hAnsi="Tahoma" w:cs="Tahoma"/>
          <w:sz w:val="20"/>
          <w:szCs w:val="20"/>
          <w:lang w:val="en-GB"/>
        </w:rPr>
      </w:pPr>
      <w:r w:rsidRPr="006A7645">
        <w:rPr>
          <w:rFonts w:ascii="Tahoma" w:hAnsi="Tahoma" w:cs="Tahoma"/>
          <w:sz w:val="20"/>
          <w:szCs w:val="20"/>
          <w:lang w:val="en-GB"/>
        </w:rPr>
        <w:t>Since the AML/</w:t>
      </w:r>
      <w:r w:rsidR="00D97F90" w:rsidRPr="006A7645">
        <w:rPr>
          <w:rFonts w:ascii="Tahoma" w:hAnsi="Tahoma" w:cs="Tahoma"/>
          <w:sz w:val="20"/>
          <w:szCs w:val="20"/>
          <w:lang w:val="en-GB"/>
        </w:rPr>
        <w:t>CFT</w:t>
      </w:r>
      <w:r w:rsidRPr="006A7645">
        <w:rPr>
          <w:rFonts w:ascii="Tahoma" w:hAnsi="Tahoma" w:cs="Tahoma"/>
          <w:sz w:val="20"/>
          <w:szCs w:val="20"/>
          <w:lang w:val="en-GB"/>
        </w:rPr>
        <w:t xml:space="preserve"> policy should be integrated into the compliance function, the principles included in Circular NBB_2012_14 are applicable. Moreover, the prudential rule stipulating that all independent </w:t>
      </w:r>
      <w:r w:rsidRPr="006A7645">
        <w:rPr>
          <w:rFonts w:ascii="Tahoma" w:hAnsi="Tahoma" w:cs="Tahoma"/>
          <w:sz w:val="20"/>
          <w:szCs w:val="20"/>
          <w:lang w:val="en-GB"/>
        </w:rPr>
        <w:lastRenderedPageBreak/>
        <w:t>control functions should form a coherent whole, also applies, requiring a good interaction between the compliance function and the risk management function with respect to ML/FT risks (but without creating a hierarchy between these independent control functions).</w:t>
      </w:r>
    </w:p>
    <w:p w14:paraId="10DACE5F" w14:textId="77777777" w:rsidR="00340426" w:rsidRPr="006A7645" w:rsidRDefault="00340426" w:rsidP="00784507">
      <w:pPr>
        <w:spacing w:line="240" w:lineRule="exact"/>
        <w:ind w:left="17" w:right="23"/>
        <w:rPr>
          <w:rFonts w:ascii="Tahoma" w:hAnsi="Tahoma" w:cs="Tahoma"/>
          <w:sz w:val="20"/>
          <w:szCs w:val="20"/>
          <w:lang w:val="en-GB"/>
        </w:rPr>
      </w:pPr>
    </w:p>
    <w:p w14:paraId="401618F5" w14:textId="4EED9CC7" w:rsidR="00784507" w:rsidRPr="006A7645" w:rsidRDefault="00784507" w:rsidP="00784507">
      <w:pPr>
        <w:spacing w:line="240" w:lineRule="exact"/>
        <w:ind w:left="17" w:right="23"/>
        <w:rPr>
          <w:rFonts w:ascii="Tahoma" w:hAnsi="Tahoma" w:cs="Tahoma"/>
          <w:sz w:val="20"/>
          <w:szCs w:val="20"/>
          <w:lang w:val="en-GB"/>
        </w:rPr>
      </w:pPr>
      <w:r w:rsidRPr="006A7645">
        <w:rPr>
          <w:rFonts w:ascii="Tahoma" w:hAnsi="Tahoma" w:cs="Tahoma"/>
          <w:sz w:val="20"/>
          <w:szCs w:val="20"/>
          <w:lang w:val="en-GB"/>
        </w:rPr>
        <w:t>Although ML/FT risk management is the subject of specific reports submitted to the NBB, the NBB expects the compliance function to also cover this aspect in the context of its reporting on compliance. However, the use of cross-references is allowed in this reporting for AML/</w:t>
      </w:r>
      <w:r w:rsidR="00D97F90" w:rsidRPr="006A7645">
        <w:rPr>
          <w:rFonts w:ascii="Tahoma" w:hAnsi="Tahoma" w:cs="Tahoma"/>
          <w:sz w:val="20"/>
          <w:szCs w:val="20"/>
          <w:lang w:val="en-GB"/>
        </w:rPr>
        <w:t>CFT</w:t>
      </w:r>
      <w:r w:rsidRPr="006A7645">
        <w:rPr>
          <w:rFonts w:ascii="Tahoma" w:hAnsi="Tahoma" w:cs="Tahoma"/>
          <w:sz w:val="20"/>
          <w:szCs w:val="20"/>
          <w:lang w:val="en-GB"/>
        </w:rPr>
        <w:t xml:space="preserve"> related aspects.</w:t>
      </w:r>
    </w:p>
    <w:p w14:paraId="2AC83776" w14:textId="03A25580" w:rsidR="00784507" w:rsidRPr="006A7645" w:rsidRDefault="00784507" w:rsidP="00784507">
      <w:pPr>
        <w:spacing w:line="240" w:lineRule="exact"/>
        <w:ind w:right="23"/>
        <w:rPr>
          <w:rFonts w:ascii="Tahoma" w:hAnsi="Tahoma" w:cs="Tahoma"/>
          <w:sz w:val="20"/>
          <w:szCs w:val="20"/>
          <w:lang w:val="en-GB"/>
        </w:rPr>
      </w:pPr>
    </w:p>
    <w:p w14:paraId="623158F6" w14:textId="77777777" w:rsidR="00784507" w:rsidRPr="006A7645" w:rsidRDefault="00784507" w:rsidP="00677C16">
      <w:pPr>
        <w:snapToGrid w:val="0"/>
        <w:spacing w:line="240" w:lineRule="exact"/>
        <w:jc w:val="both"/>
        <w:rPr>
          <w:rFonts w:ascii="Tahoma" w:eastAsia="標楷體" w:hAnsi="Tahoma" w:cs="Tahoma"/>
          <w:sz w:val="20"/>
          <w:szCs w:val="20"/>
          <w:lang w:val="en-GB"/>
        </w:rPr>
      </w:pPr>
    </w:p>
    <w:sectPr w:rsidR="00784507" w:rsidRPr="006A7645" w:rsidSect="00C32A82">
      <w:footerReference w:type="default" r:id="rId10"/>
      <w:pgSz w:w="11906" w:h="16838" w:code="9"/>
      <w:pgMar w:top="1418" w:right="1418" w:bottom="1418" w:left="1418" w:header="851" w:footer="851"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076A" w14:textId="77777777" w:rsidR="00042CD9" w:rsidRDefault="00042CD9" w:rsidP="00AF503E">
      <w:pPr>
        <w:spacing w:line="240" w:lineRule="auto"/>
      </w:pPr>
      <w:r>
        <w:separator/>
      </w:r>
    </w:p>
  </w:endnote>
  <w:endnote w:type="continuationSeparator" w:id="0">
    <w:p w14:paraId="75AAFE92" w14:textId="77777777" w:rsidR="00042CD9" w:rsidRDefault="00042CD9" w:rsidP="00AF5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846955"/>
      <w:docPartObj>
        <w:docPartGallery w:val="Page Numbers (Bottom of Page)"/>
        <w:docPartUnique/>
      </w:docPartObj>
    </w:sdtPr>
    <w:sdtEndPr/>
    <w:sdtContent>
      <w:p w14:paraId="3CDBBB54" w14:textId="6CB41170" w:rsidR="004E6B26" w:rsidRDefault="004E6B26">
        <w:pPr>
          <w:pStyle w:val="Footer"/>
          <w:jc w:val="center"/>
        </w:pPr>
        <w:r>
          <w:fldChar w:fldCharType="begin"/>
        </w:r>
        <w:r>
          <w:instrText>PAGE   \* MERGEFORMAT</w:instrText>
        </w:r>
        <w:r>
          <w:fldChar w:fldCharType="separate"/>
        </w:r>
        <w:r w:rsidR="00BC04C2" w:rsidRPr="00BC04C2">
          <w:rPr>
            <w:noProof/>
            <w:lang w:val="zh-TW"/>
          </w:rPr>
          <w:t>23</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963F" w14:textId="77777777" w:rsidR="00042CD9" w:rsidRDefault="00042CD9" w:rsidP="00AF503E">
      <w:pPr>
        <w:spacing w:line="240" w:lineRule="auto"/>
      </w:pPr>
      <w:r>
        <w:separator/>
      </w:r>
    </w:p>
  </w:footnote>
  <w:footnote w:type="continuationSeparator" w:id="0">
    <w:p w14:paraId="67DA2354" w14:textId="77777777" w:rsidR="00042CD9" w:rsidRDefault="00042CD9" w:rsidP="00AF50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1D9"/>
    <w:multiLevelType w:val="hybridMultilevel"/>
    <w:tmpl w:val="4B18506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11E194B"/>
    <w:multiLevelType w:val="hybridMultilevel"/>
    <w:tmpl w:val="689EF750"/>
    <w:lvl w:ilvl="0" w:tplc="8390969C">
      <w:start w:val="1"/>
      <w:numFmt w:val="decimal"/>
      <w:lvlText w:val="%1."/>
      <w:lvlJc w:val="left"/>
      <w:pPr>
        <w:ind w:left="480" w:hanging="480"/>
      </w:pPr>
      <w:rPr>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162D69"/>
    <w:multiLevelType w:val="hybridMultilevel"/>
    <w:tmpl w:val="715E81BC"/>
    <w:lvl w:ilvl="0" w:tplc="FFFFFFFF">
      <w:start w:val="1"/>
      <w:numFmt w:val="upperLetter"/>
      <w:lvlText w:val="%1)"/>
      <w:lvlJc w:val="left"/>
      <w:pPr>
        <w:ind w:left="816" w:hanging="360"/>
      </w:pPr>
      <w:rPr>
        <w:rFonts w:hint="default"/>
      </w:rPr>
    </w:lvl>
    <w:lvl w:ilvl="1" w:tplc="FFFFFFFF" w:tentative="1">
      <w:start w:val="1"/>
      <w:numFmt w:val="lowerLetter"/>
      <w:lvlText w:val="%2."/>
      <w:lvlJc w:val="left"/>
      <w:pPr>
        <w:ind w:left="1536" w:hanging="360"/>
      </w:pPr>
    </w:lvl>
    <w:lvl w:ilvl="2" w:tplc="FFFFFFFF" w:tentative="1">
      <w:start w:val="1"/>
      <w:numFmt w:val="lowerRoman"/>
      <w:lvlText w:val="%3."/>
      <w:lvlJc w:val="right"/>
      <w:pPr>
        <w:ind w:left="2256" w:hanging="180"/>
      </w:pPr>
    </w:lvl>
    <w:lvl w:ilvl="3" w:tplc="FFFFFFFF" w:tentative="1">
      <w:start w:val="1"/>
      <w:numFmt w:val="decimal"/>
      <w:lvlText w:val="%4."/>
      <w:lvlJc w:val="left"/>
      <w:pPr>
        <w:ind w:left="2976" w:hanging="360"/>
      </w:pPr>
    </w:lvl>
    <w:lvl w:ilvl="4" w:tplc="FFFFFFFF" w:tentative="1">
      <w:start w:val="1"/>
      <w:numFmt w:val="lowerLetter"/>
      <w:lvlText w:val="%5."/>
      <w:lvlJc w:val="left"/>
      <w:pPr>
        <w:ind w:left="3696" w:hanging="360"/>
      </w:pPr>
    </w:lvl>
    <w:lvl w:ilvl="5" w:tplc="FFFFFFFF" w:tentative="1">
      <w:start w:val="1"/>
      <w:numFmt w:val="lowerRoman"/>
      <w:lvlText w:val="%6."/>
      <w:lvlJc w:val="right"/>
      <w:pPr>
        <w:ind w:left="4416" w:hanging="180"/>
      </w:pPr>
    </w:lvl>
    <w:lvl w:ilvl="6" w:tplc="FFFFFFFF" w:tentative="1">
      <w:start w:val="1"/>
      <w:numFmt w:val="decimal"/>
      <w:lvlText w:val="%7."/>
      <w:lvlJc w:val="left"/>
      <w:pPr>
        <w:ind w:left="5136" w:hanging="360"/>
      </w:pPr>
    </w:lvl>
    <w:lvl w:ilvl="7" w:tplc="FFFFFFFF" w:tentative="1">
      <w:start w:val="1"/>
      <w:numFmt w:val="lowerLetter"/>
      <w:lvlText w:val="%8."/>
      <w:lvlJc w:val="left"/>
      <w:pPr>
        <w:ind w:left="5856" w:hanging="360"/>
      </w:pPr>
    </w:lvl>
    <w:lvl w:ilvl="8" w:tplc="FFFFFFFF" w:tentative="1">
      <w:start w:val="1"/>
      <w:numFmt w:val="lowerRoman"/>
      <w:lvlText w:val="%9."/>
      <w:lvlJc w:val="right"/>
      <w:pPr>
        <w:ind w:left="6576" w:hanging="180"/>
      </w:pPr>
    </w:lvl>
  </w:abstractNum>
  <w:abstractNum w:abstractNumId="3" w15:restartNumberingAfterBreak="0">
    <w:nsid w:val="06D539C6"/>
    <w:multiLevelType w:val="multilevel"/>
    <w:tmpl w:val="F71A28EC"/>
    <w:lvl w:ilvl="0">
      <w:start w:val="1"/>
      <w:numFmt w:val="decimal"/>
      <w:lvlText w:val="Article  %1"/>
      <w:lvlJc w:val="left"/>
      <w:pPr>
        <w:ind w:left="1106" w:hanging="1106"/>
      </w:pPr>
      <w:rPr>
        <w:rFonts w:hint="eastAsia"/>
        <w:b w:val="0"/>
        <w:i w:val="0"/>
      </w:rPr>
    </w:lvl>
    <w:lvl w:ilvl="1">
      <w:start w:val="1"/>
      <w:numFmt w:val="decimal"/>
      <w:lvlText w:val="%2."/>
      <w:lvlJc w:val="left"/>
      <w:pPr>
        <w:ind w:left="482" w:hanging="482"/>
      </w:pPr>
      <w:rPr>
        <w:rFonts w:hint="eastAsia"/>
        <w:b w:val="0"/>
        <w:i w:val="0"/>
        <w:sz w:val="24"/>
      </w:rPr>
    </w:lvl>
    <w:lvl w:ilvl="2">
      <w:start w:val="1"/>
      <w:numFmt w:val="decimal"/>
      <w:lvlText w:val="(%3)"/>
      <w:lvlJc w:val="left"/>
      <w:pPr>
        <w:ind w:left="964" w:hanging="482"/>
      </w:pPr>
      <w:rPr>
        <w:rFonts w:hint="eastAsia"/>
        <w:b w:val="0"/>
        <w:i w:val="0"/>
        <w:sz w:val="24"/>
      </w:rPr>
    </w:lvl>
    <w:lvl w:ilvl="3">
      <w:start w:val="1"/>
      <w:numFmt w:val="lowerLetter"/>
      <w:lvlText w:val="%4."/>
      <w:lvlJc w:val="left"/>
      <w:pPr>
        <w:ind w:left="1446" w:hanging="482"/>
      </w:pPr>
      <w:rPr>
        <w:rFonts w:hint="eastAsia"/>
        <w:b w:val="0"/>
        <w:i w:val="0"/>
        <w:sz w:val="24"/>
      </w:rPr>
    </w:lvl>
    <w:lvl w:ilvl="4">
      <w:start w:val="1"/>
      <w:numFmt w:val="lowerLetter"/>
      <w:lvlText w:val="(%5)"/>
      <w:lvlJc w:val="left"/>
      <w:pPr>
        <w:ind w:left="1871" w:hanging="425"/>
      </w:pPr>
      <w:rPr>
        <w:rFonts w:hint="eastAsia"/>
        <w:b w:val="0"/>
        <w:i w:val="0"/>
        <w:sz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07C53BAC"/>
    <w:multiLevelType w:val="hybridMultilevel"/>
    <w:tmpl w:val="FC608C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A522806"/>
    <w:multiLevelType w:val="hybridMultilevel"/>
    <w:tmpl w:val="4614D30A"/>
    <w:lvl w:ilvl="0" w:tplc="A3E61C64">
      <w:start w:val="1"/>
      <w:numFmt w:val="decimal"/>
      <w:lvlText w:val="(%1)"/>
      <w:lvlJc w:val="left"/>
      <w:pPr>
        <w:ind w:left="1341" w:hanging="360"/>
      </w:pPr>
      <w:rPr>
        <w:rFonts w:hint="eastAsia"/>
      </w:rPr>
    </w:lvl>
    <w:lvl w:ilvl="1" w:tplc="20000019" w:tentative="1">
      <w:start w:val="1"/>
      <w:numFmt w:val="lowerLetter"/>
      <w:lvlText w:val="%2."/>
      <w:lvlJc w:val="left"/>
      <w:pPr>
        <w:ind w:left="2061" w:hanging="360"/>
      </w:pPr>
    </w:lvl>
    <w:lvl w:ilvl="2" w:tplc="2000001B" w:tentative="1">
      <w:start w:val="1"/>
      <w:numFmt w:val="lowerRoman"/>
      <w:lvlText w:val="%3."/>
      <w:lvlJc w:val="right"/>
      <w:pPr>
        <w:ind w:left="2781" w:hanging="180"/>
      </w:pPr>
    </w:lvl>
    <w:lvl w:ilvl="3" w:tplc="2000000F" w:tentative="1">
      <w:start w:val="1"/>
      <w:numFmt w:val="decimal"/>
      <w:lvlText w:val="%4."/>
      <w:lvlJc w:val="left"/>
      <w:pPr>
        <w:ind w:left="3501" w:hanging="360"/>
      </w:pPr>
    </w:lvl>
    <w:lvl w:ilvl="4" w:tplc="20000019" w:tentative="1">
      <w:start w:val="1"/>
      <w:numFmt w:val="lowerLetter"/>
      <w:lvlText w:val="%5."/>
      <w:lvlJc w:val="left"/>
      <w:pPr>
        <w:ind w:left="4221" w:hanging="360"/>
      </w:pPr>
    </w:lvl>
    <w:lvl w:ilvl="5" w:tplc="2000001B" w:tentative="1">
      <w:start w:val="1"/>
      <w:numFmt w:val="lowerRoman"/>
      <w:lvlText w:val="%6."/>
      <w:lvlJc w:val="right"/>
      <w:pPr>
        <w:ind w:left="4941" w:hanging="180"/>
      </w:pPr>
    </w:lvl>
    <w:lvl w:ilvl="6" w:tplc="2000000F" w:tentative="1">
      <w:start w:val="1"/>
      <w:numFmt w:val="decimal"/>
      <w:lvlText w:val="%7."/>
      <w:lvlJc w:val="left"/>
      <w:pPr>
        <w:ind w:left="5661" w:hanging="360"/>
      </w:pPr>
    </w:lvl>
    <w:lvl w:ilvl="7" w:tplc="20000019" w:tentative="1">
      <w:start w:val="1"/>
      <w:numFmt w:val="lowerLetter"/>
      <w:lvlText w:val="%8."/>
      <w:lvlJc w:val="left"/>
      <w:pPr>
        <w:ind w:left="6381" w:hanging="360"/>
      </w:pPr>
    </w:lvl>
    <w:lvl w:ilvl="8" w:tplc="2000001B" w:tentative="1">
      <w:start w:val="1"/>
      <w:numFmt w:val="lowerRoman"/>
      <w:lvlText w:val="%9."/>
      <w:lvlJc w:val="right"/>
      <w:pPr>
        <w:ind w:left="7101" w:hanging="180"/>
      </w:pPr>
    </w:lvl>
  </w:abstractNum>
  <w:abstractNum w:abstractNumId="6" w15:restartNumberingAfterBreak="0">
    <w:nsid w:val="128A705C"/>
    <w:multiLevelType w:val="hybridMultilevel"/>
    <w:tmpl w:val="D6AADE50"/>
    <w:lvl w:ilvl="0" w:tplc="36188D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21751"/>
    <w:multiLevelType w:val="multilevel"/>
    <w:tmpl w:val="F71A28EC"/>
    <w:lvl w:ilvl="0">
      <w:start w:val="1"/>
      <w:numFmt w:val="decimal"/>
      <w:lvlText w:val="Article  %1"/>
      <w:lvlJc w:val="left"/>
      <w:pPr>
        <w:ind w:left="1106" w:hanging="1106"/>
      </w:pPr>
      <w:rPr>
        <w:rFonts w:hint="eastAsia"/>
        <w:b w:val="0"/>
        <w:i w:val="0"/>
      </w:rPr>
    </w:lvl>
    <w:lvl w:ilvl="1">
      <w:start w:val="1"/>
      <w:numFmt w:val="decimal"/>
      <w:lvlText w:val="%2."/>
      <w:lvlJc w:val="left"/>
      <w:pPr>
        <w:ind w:left="482" w:hanging="482"/>
      </w:pPr>
      <w:rPr>
        <w:rFonts w:hint="eastAsia"/>
        <w:b w:val="0"/>
        <w:i w:val="0"/>
        <w:sz w:val="24"/>
      </w:rPr>
    </w:lvl>
    <w:lvl w:ilvl="2">
      <w:start w:val="1"/>
      <w:numFmt w:val="decimal"/>
      <w:lvlText w:val="(%3)"/>
      <w:lvlJc w:val="left"/>
      <w:pPr>
        <w:ind w:left="964" w:hanging="482"/>
      </w:pPr>
      <w:rPr>
        <w:rFonts w:hint="eastAsia"/>
        <w:b w:val="0"/>
        <w:i w:val="0"/>
        <w:sz w:val="24"/>
      </w:rPr>
    </w:lvl>
    <w:lvl w:ilvl="3">
      <w:start w:val="1"/>
      <w:numFmt w:val="lowerLetter"/>
      <w:lvlText w:val="%4."/>
      <w:lvlJc w:val="left"/>
      <w:pPr>
        <w:ind w:left="1446" w:hanging="482"/>
      </w:pPr>
      <w:rPr>
        <w:rFonts w:hint="eastAsia"/>
        <w:b w:val="0"/>
        <w:i w:val="0"/>
        <w:sz w:val="24"/>
      </w:rPr>
    </w:lvl>
    <w:lvl w:ilvl="4">
      <w:start w:val="1"/>
      <w:numFmt w:val="lowerLetter"/>
      <w:lvlText w:val="(%5)"/>
      <w:lvlJc w:val="left"/>
      <w:pPr>
        <w:ind w:left="1871" w:hanging="425"/>
      </w:pPr>
      <w:rPr>
        <w:rFonts w:hint="eastAsia"/>
        <w:b w:val="0"/>
        <w:i w:val="0"/>
        <w:sz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17915190"/>
    <w:multiLevelType w:val="multilevel"/>
    <w:tmpl w:val="AF2006CA"/>
    <w:lvl w:ilvl="0">
      <w:start w:val="1"/>
      <w:numFmt w:val="decimal"/>
      <w:lvlText w:val="Article %1"/>
      <w:lvlJc w:val="left"/>
      <w:pPr>
        <w:ind w:left="1106" w:hanging="1106"/>
      </w:pPr>
      <w:rPr>
        <w:rFonts w:hint="eastAsia"/>
        <w:b w:val="0"/>
        <w:i w:val="0"/>
        <w:color w:val="FF0000"/>
        <w:u w:val="single"/>
      </w:rPr>
    </w:lvl>
    <w:lvl w:ilvl="1">
      <w:start w:val="1"/>
      <w:numFmt w:val="decimal"/>
      <w:lvlText w:val="%2."/>
      <w:lvlJc w:val="left"/>
      <w:pPr>
        <w:ind w:left="482" w:hanging="482"/>
      </w:pPr>
      <w:rPr>
        <w:rFonts w:hint="eastAsia"/>
        <w:b w:val="0"/>
        <w:i w:val="0"/>
        <w:color w:val="FF0000"/>
        <w:sz w:val="22"/>
        <w:szCs w:val="22"/>
        <w:u w:val="none"/>
      </w:rPr>
    </w:lvl>
    <w:lvl w:ilvl="2">
      <w:start w:val="1"/>
      <w:numFmt w:val="decimal"/>
      <w:lvlText w:val="(%3)"/>
      <w:lvlJc w:val="left"/>
      <w:pPr>
        <w:ind w:left="964" w:hanging="482"/>
      </w:pPr>
      <w:rPr>
        <w:rFonts w:hint="eastAsia"/>
        <w:b w:val="0"/>
        <w:i w:val="0"/>
        <w:color w:val="FF0000"/>
        <w:sz w:val="20"/>
        <w:szCs w:val="20"/>
        <w:u w:val="single"/>
      </w:rPr>
    </w:lvl>
    <w:lvl w:ilvl="3">
      <w:start w:val="1"/>
      <w:numFmt w:val="lowerLetter"/>
      <w:lvlText w:val="%4."/>
      <w:lvlJc w:val="left"/>
      <w:pPr>
        <w:ind w:left="1446" w:hanging="482"/>
      </w:pPr>
      <w:rPr>
        <w:rFonts w:hint="eastAsia"/>
        <w:b w:val="0"/>
        <w:i w:val="0"/>
        <w:sz w:val="24"/>
      </w:rPr>
    </w:lvl>
    <w:lvl w:ilvl="4">
      <w:start w:val="1"/>
      <w:numFmt w:val="lowerLetter"/>
      <w:lvlText w:val="(%5)"/>
      <w:lvlJc w:val="left"/>
      <w:pPr>
        <w:ind w:left="1871" w:hanging="425"/>
      </w:pPr>
      <w:rPr>
        <w:rFonts w:hint="eastAsia"/>
        <w:b w:val="0"/>
        <w:i w:val="0"/>
        <w:sz w:val="24"/>
      </w:rPr>
    </w:lvl>
    <w:lvl w:ilvl="5">
      <w:start w:val="1"/>
      <w:numFmt w:val="lowerRoman"/>
      <w:lvlText w:val="%6."/>
      <w:lvlJc w:val="right"/>
      <w:pPr>
        <w:ind w:left="2880" w:hanging="480"/>
      </w:pPr>
      <w:rPr>
        <w:rFonts w:hint="eastAsia"/>
      </w:rPr>
    </w:lvl>
    <w:lvl w:ilvl="6">
      <w:start w:val="6"/>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1D784CE6"/>
    <w:multiLevelType w:val="multilevel"/>
    <w:tmpl w:val="E17AC914"/>
    <w:lvl w:ilvl="0">
      <w:start w:val="1"/>
      <w:numFmt w:val="decimal"/>
      <w:lvlText w:val="Article  %1"/>
      <w:lvlJc w:val="left"/>
      <w:pPr>
        <w:ind w:left="1106" w:hanging="1106"/>
      </w:pPr>
      <w:rPr>
        <w:rFonts w:hint="eastAsia"/>
        <w:b w:val="0"/>
        <w:i w:val="0"/>
      </w:rPr>
    </w:lvl>
    <w:lvl w:ilvl="1">
      <w:start w:val="1"/>
      <w:numFmt w:val="decimal"/>
      <w:lvlText w:val="%2."/>
      <w:lvlJc w:val="left"/>
      <w:pPr>
        <w:ind w:left="482" w:hanging="482"/>
      </w:pPr>
      <w:rPr>
        <w:rFonts w:hint="eastAsia"/>
        <w:b w:val="0"/>
        <w:i w:val="0"/>
        <w:sz w:val="24"/>
      </w:rPr>
    </w:lvl>
    <w:lvl w:ilvl="2">
      <w:start w:val="1"/>
      <w:numFmt w:val="lowerRoman"/>
      <w:lvlText w:val="%3)"/>
      <w:lvlJc w:val="left"/>
      <w:pPr>
        <w:ind w:left="964" w:hanging="482"/>
      </w:pPr>
      <w:rPr>
        <w:rFonts w:hint="eastAsia"/>
        <w:b w:val="0"/>
        <w:i w:val="0"/>
        <w:sz w:val="24"/>
      </w:rPr>
    </w:lvl>
    <w:lvl w:ilvl="3">
      <w:start w:val="1"/>
      <w:numFmt w:val="lowerLetter"/>
      <w:lvlText w:val="%4."/>
      <w:lvlJc w:val="left"/>
      <w:pPr>
        <w:ind w:left="1446" w:hanging="482"/>
      </w:pPr>
      <w:rPr>
        <w:rFonts w:hint="eastAsia"/>
        <w:b w:val="0"/>
        <w:i w:val="0"/>
        <w:sz w:val="24"/>
      </w:rPr>
    </w:lvl>
    <w:lvl w:ilvl="4">
      <w:start w:val="1"/>
      <w:numFmt w:val="lowerLetter"/>
      <w:lvlText w:val="(%5)"/>
      <w:lvlJc w:val="left"/>
      <w:pPr>
        <w:ind w:left="1871" w:hanging="425"/>
      </w:pPr>
      <w:rPr>
        <w:rFonts w:hint="eastAsia"/>
        <w:b w:val="0"/>
        <w:i w:val="0"/>
        <w:sz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21207203"/>
    <w:multiLevelType w:val="multilevel"/>
    <w:tmpl w:val="F71A28EC"/>
    <w:lvl w:ilvl="0">
      <w:start w:val="1"/>
      <w:numFmt w:val="decimal"/>
      <w:lvlText w:val="Article  %1"/>
      <w:lvlJc w:val="left"/>
      <w:pPr>
        <w:ind w:left="1106" w:hanging="1106"/>
      </w:pPr>
      <w:rPr>
        <w:rFonts w:hint="eastAsia"/>
        <w:b w:val="0"/>
        <w:i w:val="0"/>
      </w:rPr>
    </w:lvl>
    <w:lvl w:ilvl="1">
      <w:start w:val="1"/>
      <w:numFmt w:val="decimal"/>
      <w:lvlText w:val="%2."/>
      <w:lvlJc w:val="left"/>
      <w:pPr>
        <w:ind w:left="482" w:hanging="482"/>
      </w:pPr>
      <w:rPr>
        <w:rFonts w:hint="eastAsia"/>
        <w:b w:val="0"/>
        <w:i w:val="0"/>
        <w:sz w:val="24"/>
      </w:rPr>
    </w:lvl>
    <w:lvl w:ilvl="2">
      <w:start w:val="1"/>
      <w:numFmt w:val="decimal"/>
      <w:lvlText w:val="(%3)"/>
      <w:lvlJc w:val="left"/>
      <w:pPr>
        <w:ind w:left="964" w:hanging="482"/>
      </w:pPr>
      <w:rPr>
        <w:rFonts w:hint="eastAsia"/>
        <w:b w:val="0"/>
        <w:i w:val="0"/>
        <w:sz w:val="24"/>
      </w:rPr>
    </w:lvl>
    <w:lvl w:ilvl="3">
      <w:start w:val="1"/>
      <w:numFmt w:val="lowerLetter"/>
      <w:lvlText w:val="%4."/>
      <w:lvlJc w:val="left"/>
      <w:pPr>
        <w:ind w:left="1446" w:hanging="482"/>
      </w:pPr>
      <w:rPr>
        <w:rFonts w:hint="eastAsia"/>
        <w:b w:val="0"/>
        <w:i w:val="0"/>
        <w:sz w:val="24"/>
      </w:rPr>
    </w:lvl>
    <w:lvl w:ilvl="4">
      <w:start w:val="1"/>
      <w:numFmt w:val="lowerLetter"/>
      <w:lvlText w:val="(%5)"/>
      <w:lvlJc w:val="left"/>
      <w:pPr>
        <w:ind w:left="1871" w:hanging="425"/>
      </w:pPr>
      <w:rPr>
        <w:rFonts w:hint="eastAsia"/>
        <w:b w:val="0"/>
        <w:i w:val="0"/>
        <w:sz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15:restartNumberingAfterBreak="0">
    <w:nsid w:val="22A142E0"/>
    <w:multiLevelType w:val="multilevel"/>
    <w:tmpl w:val="F65853B4"/>
    <w:lvl w:ilvl="0">
      <w:start w:val="1"/>
      <w:numFmt w:val="decimal"/>
      <w:lvlText w:val="Article %1"/>
      <w:lvlJc w:val="left"/>
      <w:pPr>
        <w:ind w:left="1106" w:hanging="1106"/>
      </w:pPr>
      <w:rPr>
        <w:rFonts w:hint="eastAsia"/>
        <w:b w:val="0"/>
        <w:i w:val="0"/>
        <w:color w:val="FF0000"/>
        <w:u w:val="single"/>
      </w:rPr>
    </w:lvl>
    <w:lvl w:ilvl="1">
      <w:start w:val="1"/>
      <w:numFmt w:val="decimal"/>
      <w:lvlText w:val="%2."/>
      <w:lvlJc w:val="left"/>
      <w:pPr>
        <w:ind w:left="482" w:hanging="482"/>
      </w:pPr>
      <w:rPr>
        <w:rFonts w:hint="eastAsia"/>
        <w:b w:val="0"/>
        <w:i w:val="0"/>
        <w:color w:val="FF0000"/>
        <w:sz w:val="22"/>
        <w:szCs w:val="22"/>
        <w:u w:val="none"/>
      </w:rPr>
    </w:lvl>
    <w:lvl w:ilvl="2">
      <w:start w:val="1"/>
      <w:numFmt w:val="decimal"/>
      <w:lvlText w:val="(%3)"/>
      <w:lvlJc w:val="left"/>
      <w:pPr>
        <w:ind w:left="964" w:hanging="482"/>
      </w:pPr>
      <w:rPr>
        <w:rFonts w:hint="eastAsia"/>
        <w:b w:val="0"/>
        <w:i w:val="0"/>
        <w:color w:val="FF0000"/>
        <w:sz w:val="24"/>
        <w:u w:val="single"/>
      </w:rPr>
    </w:lvl>
    <w:lvl w:ilvl="3">
      <w:start w:val="1"/>
      <w:numFmt w:val="lowerLetter"/>
      <w:lvlText w:val="%4."/>
      <w:lvlJc w:val="left"/>
      <w:pPr>
        <w:ind w:left="1446" w:hanging="482"/>
      </w:pPr>
      <w:rPr>
        <w:rFonts w:hint="eastAsia"/>
        <w:b w:val="0"/>
        <w:i w:val="0"/>
        <w:sz w:val="24"/>
      </w:rPr>
    </w:lvl>
    <w:lvl w:ilvl="4">
      <w:start w:val="1"/>
      <w:numFmt w:val="lowerLetter"/>
      <w:lvlText w:val="(%5)"/>
      <w:lvlJc w:val="left"/>
      <w:pPr>
        <w:ind w:left="1871" w:hanging="425"/>
      </w:pPr>
      <w:rPr>
        <w:rFonts w:hint="eastAsia"/>
        <w:b w:val="0"/>
        <w:i w:val="0"/>
        <w:sz w:val="24"/>
      </w:rPr>
    </w:lvl>
    <w:lvl w:ilvl="5">
      <w:start w:val="1"/>
      <w:numFmt w:val="lowerRoman"/>
      <w:lvlText w:val="%6."/>
      <w:lvlJc w:val="right"/>
      <w:pPr>
        <w:ind w:left="2880" w:hanging="480"/>
      </w:pPr>
      <w:rPr>
        <w:rFonts w:hint="eastAsia"/>
      </w:rPr>
    </w:lvl>
    <w:lvl w:ilvl="6">
      <w:start w:val="6"/>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2684597C"/>
    <w:multiLevelType w:val="hybridMultilevel"/>
    <w:tmpl w:val="A490D5F6"/>
    <w:lvl w:ilvl="0" w:tplc="6F7C67CE">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13" w15:restartNumberingAfterBreak="0">
    <w:nsid w:val="27A50E64"/>
    <w:multiLevelType w:val="hybridMultilevel"/>
    <w:tmpl w:val="271E2206"/>
    <w:lvl w:ilvl="0" w:tplc="08090001">
      <w:start w:val="1"/>
      <w:numFmt w:val="bullet"/>
      <w:lvlText w:val=""/>
      <w:lvlJc w:val="left"/>
      <w:pPr>
        <w:ind w:left="117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DDF6D70"/>
    <w:multiLevelType w:val="multilevel"/>
    <w:tmpl w:val="F71A28EC"/>
    <w:lvl w:ilvl="0">
      <w:start w:val="1"/>
      <w:numFmt w:val="decimal"/>
      <w:lvlText w:val="Article  %1"/>
      <w:lvlJc w:val="left"/>
      <w:pPr>
        <w:ind w:left="1106" w:hanging="1106"/>
      </w:pPr>
      <w:rPr>
        <w:rFonts w:hint="eastAsia"/>
        <w:b w:val="0"/>
        <w:i w:val="0"/>
      </w:rPr>
    </w:lvl>
    <w:lvl w:ilvl="1">
      <w:start w:val="1"/>
      <w:numFmt w:val="decimal"/>
      <w:lvlText w:val="%2."/>
      <w:lvlJc w:val="left"/>
      <w:pPr>
        <w:ind w:left="482" w:hanging="482"/>
      </w:pPr>
      <w:rPr>
        <w:rFonts w:hint="eastAsia"/>
        <w:b w:val="0"/>
        <w:i w:val="0"/>
        <w:sz w:val="24"/>
      </w:rPr>
    </w:lvl>
    <w:lvl w:ilvl="2">
      <w:start w:val="1"/>
      <w:numFmt w:val="decimal"/>
      <w:lvlText w:val="(%3)"/>
      <w:lvlJc w:val="left"/>
      <w:pPr>
        <w:ind w:left="964" w:hanging="482"/>
      </w:pPr>
      <w:rPr>
        <w:rFonts w:hint="eastAsia"/>
        <w:b w:val="0"/>
        <w:i w:val="0"/>
        <w:sz w:val="24"/>
      </w:rPr>
    </w:lvl>
    <w:lvl w:ilvl="3">
      <w:start w:val="1"/>
      <w:numFmt w:val="lowerLetter"/>
      <w:lvlText w:val="%4."/>
      <w:lvlJc w:val="left"/>
      <w:pPr>
        <w:ind w:left="1446" w:hanging="482"/>
      </w:pPr>
      <w:rPr>
        <w:rFonts w:hint="eastAsia"/>
        <w:b w:val="0"/>
        <w:i w:val="0"/>
        <w:sz w:val="24"/>
      </w:rPr>
    </w:lvl>
    <w:lvl w:ilvl="4">
      <w:start w:val="1"/>
      <w:numFmt w:val="lowerLetter"/>
      <w:lvlText w:val="(%5)"/>
      <w:lvlJc w:val="left"/>
      <w:pPr>
        <w:ind w:left="1871" w:hanging="425"/>
      </w:pPr>
      <w:rPr>
        <w:rFonts w:hint="eastAsia"/>
        <w:b w:val="0"/>
        <w:i w:val="0"/>
        <w:sz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 w15:restartNumberingAfterBreak="0">
    <w:nsid w:val="35EF4F8F"/>
    <w:multiLevelType w:val="hybridMultilevel"/>
    <w:tmpl w:val="EC2E5A0C"/>
    <w:lvl w:ilvl="0" w:tplc="83409F1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E2323CC0">
      <w:numFmt w:val="bullet"/>
      <w:lvlText w:val="-"/>
      <w:lvlJc w:val="left"/>
      <w:pPr>
        <w:ind w:left="1320" w:hanging="360"/>
      </w:pPr>
      <w:rPr>
        <w:rFonts w:ascii="Calibri" w:eastAsia="新細明體" w:hAnsi="Calibri" w:cs="Times New Roman"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055C76"/>
    <w:multiLevelType w:val="multilevel"/>
    <w:tmpl w:val="FE84C096"/>
    <w:lvl w:ilvl="0">
      <w:start w:val="1"/>
      <w:numFmt w:val="decimal"/>
      <w:lvlText w:val="Article  %1"/>
      <w:lvlJc w:val="left"/>
      <w:pPr>
        <w:ind w:left="1106" w:hanging="1106"/>
      </w:pPr>
      <w:rPr>
        <w:rFonts w:hint="eastAsia"/>
        <w:b w:val="0"/>
        <w:i w:val="0"/>
      </w:rPr>
    </w:lvl>
    <w:lvl w:ilvl="1">
      <w:start w:val="1"/>
      <w:numFmt w:val="decimal"/>
      <w:lvlText w:val="%2."/>
      <w:lvlJc w:val="left"/>
      <w:pPr>
        <w:ind w:left="482" w:hanging="482"/>
      </w:pPr>
      <w:rPr>
        <w:rFonts w:hint="eastAsia"/>
        <w:b w:val="0"/>
        <w:i w:val="0"/>
        <w:sz w:val="24"/>
      </w:rPr>
    </w:lvl>
    <w:lvl w:ilvl="2">
      <w:start w:val="1"/>
      <w:numFmt w:val="decimal"/>
      <w:lvlText w:val="(%3)"/>
      <w:lvlJc w:val="left"/>
      <w:pPr>
        <w:ind w:left="964" w:hanging="482"/>
      </w:pPr>
      <w:rPr>
        <w:rFonts w:hint="eastAsia"/>
        <w:b w:val="0"/>
        <w:i w:val="0"/>
        <w:sz w:val="28"/>
        <w:szCs w:val="28"/>
      </w:rPr>
    </w:lvl>
    <w:lvl w:ilvl="3">
      <w:start w:val="1"/>
      <w:numFmt w:val="lowerLetter"/>
      <w:lvlText w:val="%4."/>
      <w:lvlJc w:val="left"/>
      <w:pPr>
        <w:ind w:left="1446" w:hanging="482"/>
      </w:pPr>
      <w:rPr>
        <w:rFonts w:hint="eastAsia"/>
        <w:b w:val="0"/>
        <w:i w:val="0"/>
        <w:sz w:val="24"/>
      </w:rPr>
    </w:lvl>
    <w:lvl w:ilvl="4">
      <w:start w:val="1"/>
      <w:numFmt w:val="lowerLetter"/>
      <w:lvlText w:val="(%5)"/>
      <w:lvlJc w:val="left"/>
      <w:pPr>
        <w:ind w:left="1871" w:hanging="425"/>
      </w:pPr>
      <w:rPr>
        <w:rFonts w:hint="eastAsia"/>
        <w:b w:val="0"/>
        <w:i w:val="0"/>
        <w:sz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38956BE3"/>
    <w:multiLevelType w:val="hybridMultilevel"/>
    <w:tmpl w:val="0554C13A"/>
    <w:lvl w:ilvl="0" w:tplc="6DA01C96">
      <w:start w:val="1"/>
      <w:numFmt w:val="decimal"/>
      <w:lvlText w:val="%1."/>
      <w:lvlJc w:val="left"/>
      <w:pPr>
        <w:ind w:left="360" w:hanging="360"/>
      </w:pPr>
      <w:rPr>
        <w:rFonts w:hint="default"/>
      </w:rPr>
    </w:lvl>
    <w:lvl w:ilvl="1" w:tplc="7BF4DBE4">
      <w:start w:val="1"/>
      <w:numFmt w:val="lowerLetter"/>
      <w:lvlText w:val="(%2)"/>
      <w:lvlJc w:val="left"/>
      <w:pPr>
        <w:ind w:left="1097" w:hanging="617"/>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CD5B4B"/>
    <w:multiLevelType w:val="hybridMultilevel"/>
    <w:tmpl w:val="46A80A22"/>
    <w:lvl w:ilvl="0" w:tplc="A3E61C64">
      <w:start w:val="1"/>
      <w:numFmt w:val="decimal"/>
      <w:lvlText w:val="(%1)"/>
      <w:lvlJc w:val="left"/>
      <w:pPr>
        <w:ind w:left="720" w:hanging="360"/>
      </w:pPr>
      <w:rPr>
        <w:rFonts w:hint="eastAsi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1313C27"/>
    <w:multiLevelType w:val="hybridMultilevel"/>
    <w:tmpl w:val="F0B4C7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9EE06F4"/>
    <w:multiLevelType w:val="hybridMultilevel"/>
    <w:tmpl w:val="D19CF57C"/>
    <w:lvl w:ilvl="0" w:tplc="AFDAE798">
      <w:start w:val="9"/>
      <w:numFmt w:val="bullet"/>
      <w:lvlText w:val="-"/>
      <w:lvlJc w:val="left"/>
      <w:pPr>
        <w:ind w:left="1341" w:hanging="360"/>
      </w:pPr>
      <w:rPr>
        <w:rFonts w:ascii="Calibri" w:eastAsiaTheme="minorHAnsi" w:hAnsi="Calibri" w:cs="Calibri" w:hint="default"/>
      </w:rPr>
    </w:lvl>
    <w:lvl w:ilvl="1" w:tplc="20000003" w:tentative="1">
      <w:start w:val="1"/>
      <w:numFmt w:val="bullet"/>
      <w:lvlText w:val="o"/>
      <w:lvlJc w:val="left"/>
      <w:pPr>
        <w:ind w:left="2061" w:hanging="360"/>
      </w:pPr>
      <w:rPr>
        <w:rFonts w:ascii="Courier New" w:hAnsi="Courier New" w:cs="Courier New" w:hint="default"/>
      </w:rPr>
    </w:lvl>
    <w:lvl w:ilvl="2" w:tplc="20000005" w:tentative="1">
      <w:start w:val="1"/>
      <w:numFmt w:val="bullet"/>
      <w:lvlText w:val=""/>
      <w:lvlJc w:val="left"/>
      <w:pPr>
        <w:ind w:left="2781" w:hanging="360"/>
      </w:pPr>
      <w:rPr>
        <w:rFonts w:ascii="Wingdings" w:hAnsi="Wingdings" w:hint="default"/>
      </w:rPr>
    </w:lvl>
    <w:lvl w:ilvl="3" w:tplc="20000001" w:tentative="1">
      <w:start w:val="1"/>
      <w:numFmt w:val="bullet"/>
      <w:lvlText w:val=""/>
      <w:lvlJc w:val="left"/>
      <w:pPr>
        <w:ind w:left="3501" w:hanging="360"/>
      </w:pPr>
      <w:rPr>
        <w:rFonts w:ascii="Symbol" w:hAnsi="Symbol" w:hint="default"/>
      </w:rPr>
    </w:lvl>
    <w:lvl w:ilvl="4" w:tplc="20000003" w:tentative="1">
      <w:start w:val="1"/>
      <w:numFmt w:val="bullet"/>
      <w:lvlText w:val="o"/>
      <w:lvlJc w:val="left"/>
      <w:pPr>
        <w:ind w:left="4221" w:hanging="360"/>
      </w:pPr>
      <w:rPr>
        <w:rFonts w:ascii="Courier New" w:hAnsi="Courier New" w:cs="Courier New" w:hint="default"/>
      </w:rPr>
    </w:lvl>
    <w:lvl w:ilvl="5" w:tplc="20000005" w:tentative="1">
      <w:start w:val="1"/>
      <w:numFmt w:val="bullet"/>
      <w:lvlText w:val=""/>
      <w:lvlJc w:val="left"/>
      <w:pPr>
        <w:ind w:left="4941" w:hanging="360"/>
      </w:pPr>
      <w:rPr>
        <w:rFonts w:ascii="Wingdings" w:hAnsi="Wingdings" w:hint="default"/>
      </w:rPr>
    </w:lvl>
    <w:lvl w:ilvl="6" w:tplc="20000001" w:tentative="1">
      <w:start w:val="1"/>
      <w:numFmt w:val="bullet"/>
      <w:lvlText w:val=""/>
      <w:lvlJc w:val="left"/>
      <w:pPr>
        <w:ind w:left="5661" w:hanging="360"/>
      </w:pPr>
      <w:rPr>
        <w:rFonts w:ascii="Symbol" w:hAnsi="Symbol" w:hint="default"/>
      </w:rPr>
    </w:lvl>
    <w:lvl w:ilvl="7" w:tplc="20000003" w:tentative="1">
      <w:start w:val="1"/>
      <w:numFmt w:val="bullet"/>
      <w:lvlText w:val="o"/>
      <w:lvlJc w:val="left"/>
      <w:pPr>
        <w:ind w:left="6381" w:hanging="360"/>
      </w:pPr>
      <w:rPr>
        <w:rFonts w:ascii="Courier New" w:hAnsi="Courier New" w:cs="Courier New" w:hint="default"/>
      </w:rPr>
    </w:lvl>
    <w:lvl w:ilvl="8" w:tplc="20000005" w:tentative="1">
      <w:start w:val="1"/>
      <w:numFmt w:val="bullet"/>
      <w:lvlText w:val=""/>
      <w:lvlJc w:val="left"/>
      <w:pPr>
        <w:ind w:left="7101" w:hanging="360"/>
      </w:pPr>
      <w:rPr>
        <w:rFonts w:ascii="Wingdings" w:hAnsi="Wingdings" w:hint="default"/>
      </w:rPr>
    </w:lvl>
  </w:abstractNum>
  <w:abstractNum w:abstractNumId="21" w15:restartNumberingAfterBreak="0">
    <w:nsid w:val="4A5A35EB"/>
    <w:multiLevelType w:val="hybridMultilevel"/>
    <w:tmpl w:val="7D1E495C"/>
    <w:lvl w:ilvl="0" w:tplc="A3E61C64">
      <w:start w:val="1"/>
      <w:numFmt w:val="decimal"/>
      <w:lvlText w:val="(%1)"/>
      <w:lvlJc w:val="left"/>
      <w:pPr>
        <w:ind w:left="1341" w:hanging="360"/>
      </w:pPr>
      <w:rPr>
        <w:rFonts w:hint="eastAsia"/>
      </w:rPr>
    </w:lvl>
    <w:lvl w:ilvl="1" w:tplc="20000019" w:tentative="1">
      <w:start w:val="1"/>
      <w:numFmt w:val="lowerLetter"/>
      <w:lvlText w:val="%2."/>
      <w:lvlJc w:val="left"/>
      <w:pPr>
        <w:ind w:left="2061" w:hanging="360"/>
      </w:pPr>
    </w:lvl>
    <w:lvl w:ilvl="2" w:tplc="2000001B" w:tentative="1">
      <w:start w:val="1"/>
      <w:numFmt w:val="lowerRoman"/>
      <w:lvlText w:val="%3."/>
      <w:lvlJc w:val="right"/>
      <w:pPr>
        <w:ind w:left="2781" w:hanging="180"/>
      </w:pPr>
    </w:lvl>
    <w:lvl w:ilvl="3" w:tplc="2000000F" w:tentative="1">
      <w:start w:val="1"/>
      <w:numFmt w:val="decimal"/>
      <w:lvlText w:val="%4."/>
      <w:lvlJc w:val="left"/>
      <w:pPr>
        <w:ind w:left="3501" w:hanging="360"/>
      </w:pPr>
    </w:lvl>
    <w:lvl w:ilvl="4" w:tplc="20000019" w:tentative="1">
      <w:start w:val="1"/>
      <w:numFmt w:val="lowerLetter"/>
      <w:lvlText w:val="%5."/>
      <w:lvlJc w:val="left"/>
      <w:pPr>
        <w:ind w:left="4221" w:hanging="360"/>
      </w:pPr>
    </w:lvl>
    <w:lvl w:ilvl="5" w:tplc="2000001B" w:tentative="1">
      <w:start w:val="1"/>
      <w:numFmt w:val="lowerRoman"/>
      <w:lvlText w:val="%6."/>
      <w:lvlJc w:val="right"/>
      <w:pPr>
        <w:ind w:left="4941" w:hanging="180"/>
      </w:pPr>
    </w:lvl>
    <w:lvl w:ilvl="6" w:tplc="2000000F" w:tentative="1">
      <w:start w:val="1"/>
      <w:numFmt w:val="decimal"/>
      <w:lvlText w:val="%7."/>
      <w:lvlJc w:val="left"/>
      <w:pPr>
        <w:ind w:left="5661" w:hanging="360"/>
      </w:pPr>
    </w:lvl>
    <w:lvl w:ilvl="7" w:tplc="20000019" w:tentative="1">
      <w:start w:val="1"/>
      <w:numFmt w:val="lowerLetter"/>
      <w:lvlText w:val="%8."/>
      <w:lvlJc w:val="left"/>
      <w:pPr>
        <w:ind w:left="6381" w:hanging="360"/>
      </w:pPr>
    </w:lvl>
    <w:lvl w:ilvl="8" w:tplc="2000001B" w:tentative="1">
      <w:start w:val="1"/>
      <w:numFmt w:val="lowerRoman"/>
      <w:lvlText w:val="%9."/>
      <w:lvlJc w:val="right"/>
      <w:pPr>
        <w:ind w:left="7101" w:hanging="180"/>
      </w:pPr>
    </w:lvl>
  </w:abstractNum>
  <w:abstractNum w:abstractNumId="22" w15:restartNumberingAfterBreak="0">
    <w:nsid w:val="4D462EE9"/>
    <w:multiLevelType w:val="multilevel"/>
    <w:tmpl w:val="B0FA01FA"/>
    <w:lvl w:ilvl="0">
      <w:start w:val="1"/>
      <w:numFmt w:val="decimal"/>
      <w:lvlText w:val="Article  %1"/>
      <w:lvlJc w:val="left"/>
      <w:pPr>
        <w:ind w:left="1106" w:hanging="1106"/>
      </w:pPr>
      <w:rPr>
        <w:rFonts w:hint="eastAsia"/>
        <w:b w:val="0"/>
        <w:i w:val="0"/>
      </w:rPr>
    </w:lvl>
    <w:lvl w:ilvl="1">
      <w:start w:val="1"/>
      <w:numFmt w:val="decimal"/>
      <w:lvlText w:val="%2."/>
      <w:lvlJc w:val="left"/>
      <w:pPr>
        <w:ind w:left="482" w:hanging="482"/>
      </w:pPr>
      <w:rPr>
        <w:rFonts w:hint="eastAsia"/>
        <w:b w:val="0"/>
        <w:i w:val="0"/>
        <w:sz w:val="24"/>
      </w:rPr>
    </w:lvl>
    <w:lvl w:ilvl="2">
      <w:start w:val="1"/>
      <w:numFmt w:val="decimal"/>
      <w:lvlText w:val="(%3)"/>
      <w:lvlJc w:val="left"/>
      <w:pPr>
        <w:ind w:left="964" w:hanging="482"/>
      </w:pPr>
      <w:rPr>
        <w:rFonts w:hint="eastAsia"/>
        <w:b w:val="0"/>
        <w:i w:val="0"/>
        <w:sz w:val="28"/>
        <w:szCs w:val="28"/>
      </w:rPr>
    </w:lvl>
    <w:lvl w:ilvl="3">
      <w:start w:val="1"/>
      <w:numFmt w:val="lowerLetter"/>
      <w:lvlText w:val="%4."/>
      <w:lvlJc w:val="left"/>
      <w:pPr>
        <w:ind w:left="1758" w:hanging="482"/>
      </w:pPr>
      <w:rPr>
        <w:rFonts w:hint="eastAsia"/>
        <w:b w:val="0"/>
        <w:i w:val="0"/>
        <w:sz w:val="28"/>
        <w:szCs w:val="28"/>
      </w:rPr>
    </w:lvl>
    <w:lvl w:ilvl="4">
      <w:start w:val="1"/>
      <w:numFmt w:val="lowerLetter"/>
      <w:lvlText w:val="(%5)"/>
      <w:lvlJc w:val="left"/>
      <w:pPr>
        <w:ind w:left="1871" w:hanging="425"/>
      </w:pPr>
      <w:rPr>
        <w:rFonts w:hint="eastAsia"/>
        <w:b w:val="0"/>
        <w:i w:val="0"/>
        <w:sz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 w15:restartNumberingAfterBreak="0">
    <w:nsid w:val="524A1CF5"/>
    <w:multiLevelType w:val="hybridMultilevel"/>
    <w:tmpl w:val="C100C1CC"/>
    <w:lvl w:ilvl="0" w:tplc="5B0C34B4">
      <w:start w:val="1"/>
      <w:numFmt w:val="decimal"/>
      <w:lvlText w:val="(%1)"/>
      <w:lvlJc w:val="left"/>
      <w:pPr>
        <w:ind w:left="1287" w:hanging="360"/>
      </w:pPr>
      <w:rPr>
        <w:rFonts w:hint="eastAsia"/>
        <w:b w:val="0"/>
        <w:bCs w:val="0"/>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4" w15:restartNumberingAfterBreak="0">
    <w:nsid w:val="52734ED7"/>
    <w:multiLevelType w:val="hybridMultilevel"/>
    <w:tmpl w:val="E2F8C8B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55654B5B"/>
    <w:multiLevelType w:val="hybridMultilevel"/>
    <w:tmpl w:val="3F842AD0"/>
    <w:lvl w:ilvl="0" w:tplc="CA72F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9048D3"/>
    <w:multiLevelType w:val="multilevel"/>
    <w:tmpl w:val="F65853B4"/>
    <w:lvl w:ilvl="0">
      <w:start w:val="1"/>
      <w:numFmt w:val="decimal"/>
      <w:lvlText w:val="Article %1"/>
      <w:lvlJc w:val="left"/>
      <w:pPr>
        <w:ind w:left="1106" w:hanging="1106"/>
      </w:pPr>
      <w:rPr>
        <w:rFonts w:hint="eastAsia"/>
        <w:b w:val="0"/>
        <w:i w:val="0"/>
        <w:color w:val="FF0000"/>
        <w:u w:val="single"/>
      </w:rPr>
    </w:lvl>
    <w:lvl w:ilvl="1">
      <w:start w:val="1"/>
      <w:numFmt w:val="decimal"/>
      <w:lvlText w:val="%2."/>
      <w:lvlJc w:val="left"/>
      <w:pPr>
        <w:ind w:left="482" w:hanging="482"/>
      </w:pPr>
      <w:rPr>
        <w:rFonts w:hint="eastAsia"/>
        <w:b w:val="0"/>
        <w:i w:val="0"/>
        <w:color w:val="FF0000"/>
        <w:sz w:val="22"/>
        <w:szCs w:val="22"/>
        <w:u w:val="none"/>
      </w:rPr>
    </w:lvl>
    <w:lvl w:ilvl="2">
      <w:start w:val="1"/>
      <w:numFmt w:val="decimal"/>
      <w:lvlText w:val="(%3)"/>
      <w:lvlJc w:val="left"/>
      <w:pPr>
        <w:ind w:left="964" w:hanging="482"/>
      </w:pPr>
      <w:rPr>
        <w:rFonts w:hint="eastAsia"/>
        <w:b w:val="0"/>
        <w:i w:val="0"/>
        <w:color w:val="FF0000"/>
        <w:sz w:val="24"/>
        <w:u w:val="single"/>
      </w:rPr>
    </w:lvl>
    <w:lvl w:ilvl="3">
      <w:start w:val="1"/>
      <w:numFmt w:val="lowerLetter"/>
      <w:lvlText w:val="%4."/>
      <w:lvlJc w:val="left"/>
      <w:pPr>
        <w:ind w:left="1446" w:hanging="482"/>
      </w:pPr>
      <w:rPr>
        <w:rFonts w:hint="eastAsia"/>
        <w:b w:val="0"/>
        <w:i w:val="0"/>
        <w:sz w:val="24"/>
      </w:rPr>
    </w:lvl>
    <w:lvl w:ilvl="4">
      <w:start w:val="1"/>
      <w:numFmt w:val="lowerLetter"/>
      <w:lvlText w:val="(%5)"/>
      <w:lvlJc w:val="left"/>
      <w:pPr>
        <w:ind w:left="1871" w:hanging="425"/>
      </w:pPr>
      <w:rPr>
        <w:rFonts w:hint="eastAsia"/>
        <w:b w:val="0"/>
        <w:i w:val="0"/>
        <w:sz w:val="24"/>
      </w:rPr>
    </w:lvl>
    <w:lvl w:ilvl="5">
      <w:start w:val="1"/>
      <w:numFmt w:val="lowerRoman"/>
      <w:lvlText w:val="%6."/>
      <w:lvlJc w:val="right"/>
      <w:pPr>
        <w:ind w:left="2880" w:hanging="480"/>
      </w:pPr>
      <w:rPr>
        <w:rFonts w:hint="eastAsia"/>
      </w:rPr>
    </w:lvl>
    <w:lvl w:ilvl="6">
      <w:start w:val="6"/>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 w15:restartNumberingAfterBreak="0">
    <w:nsid w:val="57E071B3"/>
    <w:multiLevelType w:val="hybridMultilevel"/>
    <w:tmpl w:val="6B1EFE4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B2B48B5"/>
    <w:multiLevelType w:val="multilevel"/>
    <w:tmpl w:val="6672973C"/>
    <w:lvl w:ilvl="0">
      <w:start w:val="1"/>
      <w:numFmt w:val="decimal"/>
      <w:lvlText w:val="%1° "/>
      <w:lvlJc w:val="left"/>
      <w:pPr>
        <w:ind w:left="482" w:hanging="482"/>
      </w:pPr>
      <w:rPr>
        <w:rFonts w:asciiTheme="minorHAnsi" w:hAnsiTheme="minorHAnsi" w:cstheme="minorHAnsi" w:hint="default"/>
      </w:rPr>
    </w:lvl>
    <w:lvl w:ilvl="1">
      <w:start w:val="1"/>
      <w:numFmt w:val="lowerLetter"/>
      <w:lvlText w:val="%2) "/>
      <w:lvlJc w:val="left"/>
      <w:pPr>
        <w:ind w:left="839" w:hanging="357"/>
      </w:pPr>
      <w:rPr>
        <w:rFonts w:hint="eastAsia"/>
      </w:rPr>
    </w:lvl>
    <w:lvl w:ilvl="2">
      <w:start w:val="1"/>
      <w:numFmt w:val="lowerRoman"/>
      <w:lvlText w:val="%3)"/>
      <w:lvlJc w:val="left"/>
      <w:pPr>
        <w:ind w:left="1202" w:hanging="363"/>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5B546BD3"/>
    <w:multiLevelType w:val="multilevel"/>
    <w:tmpl w:val="47528934"/>
    <w:lvl w:ilvl="0">
      <w:start w:val="1"/>
      <w:numFmt w:val="decimal"/>
      <w:lvlText w:val="Article %1"/>
      <w:lvlJc w:val="left"/>
      <w:pPr>
        <w:ind w:left="1106" w:hanging="1106"/>
      </w:pPr>
      <w:rPr>
        <w:rFonts w:hint="eastAsia"/>
        <w:b w:val="0"/>
        <w:i w:val="0"/>
        <w:color w:val="FF0000"/>
        <w:u w:val="single"/>
      </w:rPr>
    </w:lvl>
    <w:lvl w:ilvl="1">
      <w:start w:val="1"/>
      <w:numFmt w:val="decimal"/>
      <w:lvlText w:val="%2."/>
      <w:lvlJc w:val="left"/>
      <w:pPr>
        <w:ind w:left="482" w:hanging="482"/>
      </w:pPr>
      <w:rPr>
        <w:rFonts w:hint="eastAsia"/>
        <w:b w:val="0"/>
        <w:i w:val="0"/>
        <w:color w:val="FF0000"/>
        <w:sz w:val="22"/>
        <w:szCs w:val="22"/>
        <w:u w:val="none"/>
      </w:rPr>
    </w:lvl>
    <w:lvl w:ilvl="2">
      <w:start w:val="1"/>
      <w:numFmt w:val="decimal"/>
      <w:lvlText w:val="(%3)"/>
      <w:lvlJc w:val="left"/>
      <w:pPr>
        <w:ind w:left="964" w:hanging="482"/>
      </w:pPr>
      <w:rPr>
        <w:rFonts w:hint="eastAsia"/>
        <w:b w:val="0"/>
        <w:i w:val="0"/>
        <w:color w:val="FF0000"/>
        <w:sz w:val="20"/>
        <w:szCs w:val="20"/>
        <w:u w:val="single"/>
      </w:rPr>
    </w:lvl>
    <w:lvl w:ilvl="3">
      <w:start w:val="1"/>
      <w:numFmt w:val="lowerLetter"/>
      <w:lvlText w:val="%4."/>
      <w:lvlJc w:val="left"/>
      <w:pPr>
        <w:ind w:left="1446" w:hanging="482"/>
      </w:pPr>
      <w:rPr>
        <w:rFonts w:hint="eastAsia"/>
        <w:b w:val="0"/>
        <w:i w:val="0"/>
        <w:sz w:val="24"/>
      </w:rPr>
    </w:lvl>
    <w:lvl w:ilvl="4">
      <w:start w:val="1"/>
      <w:numFmt w:val="lowerLetter"/>
      <w:lvlText w:val="(%5)"/>
      <w:lvlJc w:val="left"/>
      <w:pPr>
        <w:ind w:left="1871" w:hanging="425"/>
      </w:pPr>
      <w:rPr>
        <w:rFonts w:hint="eastAsia"/>
        <w:b w:val="0"/>
        <w:i w:val="0"/>
        <w:sz w:val="24"/>
      </w:rPr>
    </w:lvl>
    <w:lvl w:ilvl="5">
      <w:start w:val="1"/>
      <w:numFmt w:val="lowerRoman"/>
      <w:lvlText w:val="%6."/>
      <w:lvlJc w:val="right"/>
      <w:pPr>
        <w:ind w:left="2880" w:hanging="480"/>
      </w:pPr>
      <w:rPr>
        <w:rFonts w:hint="eastAsia"/>
      </w:rPr>
    </w:lvl>
    <w:lvl w:ilvl="6">
      <w:start w:val="6"/>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0" w15:restartNumberingAfterBreak="0">
    <w:nsid w:val="5C637CC3"/>
    <w:multiLevelType w:val="multilevel"/>
    <w:tmpl w:val="94447D32"/>
    <w:lvl w:ilvl="0">
      <w:start w:val="1"/>
      <w:numFmt w:val="taiwaneseCountingThousand"/>
      <w:lvlText w:val="第%1條"/>
      <w:lvlJc w:val="left"/>
      <w:pPr>
        <w:ind w:left="1440" w:hanging="1440"/>
      </w:pPr>
      <w:rPr>
        <w:rFonts w:hint="default"/>
        <w:color w:val="FF0000"/>
        <w:u w:val="single"/>
        <w:lang w:val="en-US"/>
      </w:rPr>
    </w:lvl>
    <w:lvl w:ilvl="1">
      <w:start w:val="1"/>
      <w:numFmt w:val="taiwaneseCountingThousand"/>
      <w:lvlText w:val="%2、"/>
      <w:lvlJc w:val="left"/>
      <w:pPr>
        <w:ind w:left="1202" w:hanging="720"/>
      </w:pPr>
      <w:rPr>
        <w:rFonts w:hint="eastAsia"/>
      </w:rPr>
    </w:lvl>
    <w:lvl w:ilvl="2">
      <w:start w:val="1"/>
      <w:numFmt w:val="taiwaneseCountingThousand"/>
      <w:lvlText w:val="（%3）"/>
      <w:lvlJc w:val="left"/>
      <w:pPr>
        <w:ind w:left="1928" w:hanging="968"/>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1" w15:restartNumberingAfterBreak="0">
    <w:nsid w:val="61D15349"/>
    <w:multiLevelType w:val="multilevel"/>
    <w:tmpl w:val="8668C33E"/>
    <w:lvl w:ilvl="0">
      <w:start w:val="1"/>
      <w:numFmt w:val="decimal"/>
      <w:lvlText w:val="Article  %1"/>
      <w:lvlJc w:val="left"/>
      <w:pPr>
        <w:ind w:left="1106" w:hanging="1106"/>
      </w:pPr>
      <w:rPr>
        <w:rFonts w:hint="eastAsia"/>
        <w:b w:val="0"/>
        <w:i w:val="0"/>
      </w:rPr>
    </w:lvl>
    <w:lvl w:ilvl="1">
      <w:start w:val="1"/>
      <w:numFmt w:val="decimal"/>
      <w:lvlText w:val="%2."/>
      <w:lvlJc w:val="left"/>
      <w:pPr>
        <w:ind w:left="482" w:hanging="482"/>
      </w:pPr>
      <w:rPr>
        <w:rFonts w:hint="eastAsia"/>
        <w:b w:val="0"/>
        <w:i w:val="0"/>
        <w:sz w:val="24"/>
      </w:rPr>
    </w:lvl>
    <w:lvl w:ilvl="2">
      <w:start w:val="1"/>
      <w:numFmt w:val="decimal"/>
      <w:lvlText w:val="(%3)"/>
      <w:lvlJc w:val="left"/>
      <w:pPr>
        <w:ind w:left="964" w:hanging="482"/>
      </w:pPr>
      <w:rPr>
        <w:rFonts w:hint="eastAsia"/>
        <w:b w:val="0"/>
        <w:i w:val="0"/>
        <w:sz w:val="28"/>
        <w:szCs w:val="28"/>
      </w:rPr>
    </w:lvl>
    <w:lvl w:ilvl="3">
      <w:start w:val="1"/>
      <w:numFmt w:val="lowerLetter"/>
      <w:lvlText w:val="%4."/>
      <w:lvlJc w:val="left"/>
      <w:pPr>
        <w:ind w:left="1446" w:hanging="482"/>
      </w:pPr>
      <w:rPr>
        <w:rFonts w:hint="eastAsia"/>
        <w:b w:val="0"/>
        <w:i w:val="0"/>
        <w:sz w:val="24"/>
      </w:rPr>
    </w:lvl>
    <w:lvl w:ilvl="4">
      <w:start w:val="1"/>
      <w:numFmt w:val="lowerLetter"/>
      <w:lvlText w:val="(%5)"/>
      <w:lvlJc w:val="left"/>
      <w:pPr>
        <w:ind w:left="1871" w:hanging="425"/>
      </w:pPr>
      <w:rPr>
        <w:rFonts w:hint="eastAsia"/>
        <w:b w:val="0"/>
        <w:i w:val="0"/>
        <w:sz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620947E0"/>
    <w:multiLevelType w:val="hybridMultilevel"/>
    <w:tmpl w:val="23E46316"/>
    <w:lvl w:ilvl="0" w:tplc="A3E61C64">
      <w:start w:val="1"/>
      <w:numFmt w:val="decimal"/>
      <w:lvlText w:val="(%1)"/>
      <w:lvlJc w:val="left"/>
      <w:pPr>
        <w:ind w:left="1341" w:hanging="360"/>
      </w:pPr>
      <w:rPr>
        <w:rFonts w:hint="eastAsia"/>
      </w:rPr>
    </w:lvl>
    <w:lvl w:ilvl="1" w:tplc="20000019" w:tentative="1">
      <w:start w:val="1"/>
      <w:numFmt w:val="lowerLetter"/>
      <w:lvlText w:val="%2."/>
      <w:lvlJc w:val="left"/>
      <w:pPr>
        <w:ind w:left="2061" w:hanging="360"/>
      </w:pPr>
    </w:lvl>
    <w:lvl w:ilvl="2" w:tplc="2000001B" w:tentative="1">
      <w:start w:val="1"/>
      <w:numFmt w:val="lowerRoman"/>
      <w:lvlText w:val="%3."/>
      <w:lvlJc w:val="right"/>
      <w:pPr>
        <w:ind w:left="2781" w:hanging="180"/>
      </w:pPr>
    </w:lvl>
    <w:lvl w:ilvl="3" w:tplc="2000000F" w:tentative="1">
      <w:start w:val="1"/>
      <w:numFmt w:val="decimal"/>
      <w:lvlText w:val="%4."/>
      <w:lvlJc w:val="left"/>
      <w:pPr>
        <w:ind w:left="3501" w:hanging="360"/>
      </w:pPr>
    </w:lvl>
    <w:lvl w:ilvl="4" w:tplc="20000019" w:tentative="1">
      <w:start w:val="1"/>
      <w:numFmt w:val="lowerLetter"/>
      <w:lvlText w:val="%5."/>
      <w:lvlJc w:val="left"/>
      <w:pPr>
        <w:ind w:left="4221" w:hanging="360"/>
      </w:pPr>
    </w:lvl>
    <w:lvl w:ilvl="5" w:tplc="2000001B" w:tentative="1">
      <w:start w:val="1"/>
      <w:numFmt w:val="lowerRoman"/>
      <w:lvlText w:val="%6."/>
      <w:lvlJc w:val="right"/>
      <w:pPr>
        <w:ind w:left="4941" w:hanging="180"/>
      </w:pPr>
    </w:lvl>
    <w:lvl w:ilvl="6" w:tplc="2000000F" w:tentative="1">
      <w:start w:val="1"/>
      <w:numFmt w:val="decimal"/>
      <w:lvlText w:val="%7."/>
      <w:lvlJc w:val="left"/>
      <w:pPr>
        <w:ind w:left="5661" w:hanging="360"/>
      </w:pPr>
    </w:lvl>
    <w:lvl w:ilvl="7" w:tplc="20000019" w:tentative="1">
      <w:start w:val="1"/>
      <w:numFmt w:val="lowerLetter"/>
      <w:lvlText w:val="%8."/>
      <w:lvlJc w:val="left"/>
      <w:pPr>
        <w:ind w:left="6381" w:hanging="360"/>
      </w:pPr>
    </w:lvl>
    <w:lvl w:ilvl="8" w:tplc="2000001B" w:tentative="1">
      <w:start w:val="1"/>
      <w:numFmt w:val="lowerRoman"/>
      <w:lvlText w:val="%9."/>
      <w:lvlJc w:val="right"/>
      <w:pPr>
        <w:ind w:left="7101" w:hanging="180"/>
      </w:pPr>
    </w:lvl>
  </w:abstractNum>
  <w:abstractNum w:abstractNumId="33" w15:restartNumberingAfterBreak="0">
    <w:nsid w:val="633D70FC"/>
    <w:multiLevelType w:val="multilevel"/>
    <w:tmpl w:val="F71A28EC"/>
    <w:lvl w:ilvl="0">
      <w:start w:val="1"/>
      <w:numFmt w:val="decimal"/>
      <w:lvlText w:val="Article  %1"/>
      <w:lvlJc w:val="left"/>
      <w:pPr>
        <w:ind w:left="1106" w:hanging="1106"/>
      </w:pPr>
      <w:rPr>
        <w:rFonts w:hint="eastAsia"/>
        <w:b w:val="0"/>
        <w:i w:val="0"/>
      </w:rPr>
    </w:lvl>
    <w:lvl w:ilvl="1">
      <w:start w:val="1"/>
      <w:numFmt w:val="decimal"/>
      <w:lvlText w:val="%2."/>
      <w:lvlJc w:val="left"/>
      <w:pPr>
        <w:ind w:left="482" w:hanging="482"/>
      </w:pPr>
      <w:rPr>
        <w:rFonts w:hint="eastAsia"/>
        <w:b w:val="0"/>
        <w:i w:val="0"/>
        <w:sz w:val="24"/>
      </w:rPr>
    </w:lvl>
    <w:lvl w:ilvl="2">
      <w:start w:val="1"/>
      <w:numFmt w:val="decimal"/>
      <w:lvlText w:val="(%3)"/>
      <w:lvlJc w:val="left"/>
      <w:pPr>
        <w:ind w:left="964" w:hanging="482"/>
      </w:pPr>
      <w:rPr>
        <w:rFonts w:hint="eastAsia"/>
        <w:b w:val="0"/>
        <w:i w:val="0"/>
        <w:sz w:val="24"/>
      </w:rPr>
    </w:lvl>
    <w:lvl w:ilvl="3">
      <w:start w:val="1"/>
      <w:numFmt w:val="lowerLetter"/>
      <w:lvlText w:val="%4."/>
      <w:lvlJc w:val="left"/>
      <w:pPr>
        <w:ind w:left="1446" w:hanging="482"/>
      </w:pPr>
      <w:rPr>
        <w:rFonts w:hint="eastAsia"/>
        <w:b w:val="0"/>
        <w:i w:val="0"/>
        <w:sz w:val="24"/>
      </w:rPr>
    </w:lvl>
    <w:lvl w:ilvl="4">
      <w:start w:val="1"/>
      <w:numFmt w:val="lowerLetter"/>
      <w:lvlText w:val="(%5)"/>
      <w:lvlJc w:val="left"/>
      <w:pPr>
        <w:ind w:left="1871" w:hanging="425"/>
      </w:pPr>
      <w:rPr>
        <w:rFonts w:hint="eastAsia"/>
        <w:b w:val="0"/>
        <w:i w:val="0"/>
        <w:sz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4" w15:restartNumberingAfterBreak="0">
    <w:nsid w:val="66F87844"/>
    <w:multiLevelType w:val="multilevel"/>
    <w:tmpl w:val="F71A28EC"/>
    <w:lvl w:ilvl="0">
      <w:start w:val="1"/>
      <w:numFmt w:val="decimal"/>
      <w:lvlText w:val="Article  %1"/>
      <w:lvlJc w:val="left"/>
      <w:pPr>
        <w:ind w:left="1106" w:hanging="1106"/>
      </w:pPr>
      <w:rPr>
        <w:rFonts w:hint="eastAsia"/>
        <w:b w:val="0"/>
        <w:i w:val="0"/>
      </w:rPr>
    </w:lvl>
    <w:lvl w:ilvl="1">
      <w:start w:val="1"/>
      <w:numFmt w:val="decimal"/>
      <w:lvlText w:val="%2."/>
      <w:lvlJc w:val="left"/>
      <w:pPr>
        <w:ind w:left="482" w:hanging="482"/>
      </w:pPr>
      <w:rPr>
        <w:rFonts w:hint="eastAsia"/>
        <w:b w:val="0"/>
        <w:i w:val="0"/>
        <w:sz w:val="24"/>
      </w:rPr>
    </w:lvl>
    <w:lvl w:ilvl="2">
      <w:start w:val="1"/>
      <w:numFmt w:val="decimal"/>
      <w:lvlText w:val="(%3)"/>
      <w:lvlJc w:val="left"/>
      <w:pPr>
        <w:ind w:left="964" w:hanging="482"/>
      </w:pPr>
      <w:rPr>
        <w:rFonts w:hint="eastAsia"/>
        <w:b w:val="0"/>
        <w:i w:val="0"/>
        <w:sz w:val="24"/>
      </w:rPr>
    </w:lvl>
    <w:lvl w:ilvl="3">
      <w:start w:val="1"/>
      <w:numFmt w:val="lowerLetter"/>
      <w:lvlText w:val="%4."/>
      <w:lvlJc w:val="left"/>
      <w:pPr>
        <w:ind w:left="1446" w:hanging="482"/>
      </w:pPr>
      <w:rPr>
        <w:rFonts w:hint="eastAsia"/>
        <w:b w:val="0"/>
        <w:i w:val="0"/>
        <w:sz w:val="24"/>
      </w:rPr>
    </w:lvl>
    <w:lvl w:ilvl="4">
      <w:start w:val="1"/>
      <w:numFmt w:val="lowerLetter"/>
      <w:lvlText w:val="(%5)"/>
      <w:lvlJc w:val="left"/>
      <w:pPr>
        <w:ind w:left="1871" w:hanging="425"/>
      </w:pPr>
      <w:rPr>
        <w:rFonts w:hint="eastAsia"/>
        <w:b w:val="0"/>
        <w:i w:val="0"/>
        <w:sz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5" w15:restartNumberingAfterBreak="0">
    <w:nsid w:val="67D17D19"/>
    <w:multiLevelType w:val="hybridMultilevel"/>
    <w:tmpl w:val="E6D61D56"/>
    <w:lvl w:ilvl="0" w:tplc="CA72FDD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8920545"/>
    <w:multiLevelType w:val="hybridMultilevel"/>
    <w:tmpl w:val="968A951C"/>
    <w:lvl w:ilvl="0" w:tplc="CA72F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4007A"/>
    <w:multiLevelType w:val="hybridMultilevel"/>
    <w:tmpl w:val="424E2E6E"/>
    <w:lvl w:ilvl="0" w:tplc="60EEFE1C">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CC30B1"/>
    <w:multiLevelType w:val="hybridMultilevel"/>
    <w:tmpl w:val="8650360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704733BB"/>
    <w:multiLevelType w:val="multilevel"/>
    <w:tmpl w:val="F71A28EC"/>
    <w:lvl w:ilvl="0">
      <w:start w:val="1"/>
      <w:numFmt w:val="decimal"/>
      <w:lvlText w:val="Article  %1"/>
      <w:lvlJc w:val="left"/>
      <w:pPr>
        <w:ind w:left="1106" w:hanging="1106"/>
      </w:pPr>
      <w:rPr>
        <w:rFonts w:hint="eastAsia"/>
        <w:b w:val="0"/>
        <w:i w:val="0"/>
        <w:color w:val="FF0000"/>
        <w:u w:val="single"/>
      </w:rPr>
    </w:lvl>
    <w:lvl w:ilvl="1">
      <w:start w:val="1"/>
      <w:numFmt w:val="decimal"/>
      <w:lvlText w:val="%2."/>
      <w:lvlJc w:val="left"/>
      <w:pPr>
        <w:ind w:left="482" w:hanging="482"/>
      </w:pPr>
      <w:rPr>
        <w:rFonts w:hint="eastAsia"/>
        <w:b w:val="0"/>
        <w:i w:val="0"/>
        <w:strike w:val="0"/>
        <w:color w:val="auto"/>
        <w:sz w:val="24"/>
        <w:szCs w:val="28"/>
        <w:u w:val="none"/>
      </w:rPr>
    </w:lvl>
    <w:lvl w:ilvl="2">
      <w:start w:val="1"/>
      <w:numFmt w:val="decimal"/>
      <w:lvlText w:val="(%3)"/>
      <w:lvlJc w:val="left"/>
      <w:pPr>
        <w:ind w:left="964" w:hanging="482"/>
      </w:pPr>
      <w:rPr>
        <w:rFonts w:hint="eastAsia"/>
        <w:b w:val="0"/>
        <w:i w:val="0"/>
        <w:color w:val="auto"/>
        <w:sz w:val="24"/>
        <w:u w:val="none"/>
      </w:rPr>
    </w:lvl>
    <w:lvl w:ilvl="3">
      <w:start w:val="1"/>
      <w:numFmt w:val="lowerLetter"/>
      <w:lvlText w:val="%4."/>
      <w:lvlJc w:val="left"/>
      <w:pPr>
        <w:ind w:left="1446" w:hanging="482"/>
      </w:pPr>
      <w:rPr>
        <w:rFonts w:hint="eastAsia"/>
        <w:b w:val="0"/>
        <w:i w:val="0"/>
        <w:sz w:val="24"/>
      </w:rPr>
    </w:lvl>
    <w:lvl w:ilvl="4">
      <w:start w:val="1"/>
      <w:numFmt w:val="lowerLetter"/>
      <w:lvlText w:val="(%5)"/>
      <w:lvlJc w:val="left"/>
      <w:pPr>
        <w:ind w:left="1871" w:hanging="425"/>
      </w:pPr>
      <w:rPr>
        <w:rFonts w:hint="eastAsia"/>
        <w:b w:val="0"/>
        <w:i w:val="0"/>
        <w:sz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0" w15:restartNumberingAfterBreak="0">
    <w:nsid w:val="728A6E37"/>
    <w:multiLevelType w:val="hybridMultilevel"/>
    <w:tmpl w:val="5406C8E8"/>
    <w:lvl w:ilvl="0" w:tplc="06265E3E">
      <w:start w:val="1"/>
      <w:numFmt w:val="decimal"/>
      <w:lvlText w:val="(%1)"/>
      <w:lvlJc w:val="left"/>
      <w:pPr>
        <w:ind w:left="1287" w:hanging="360"/>
      </w:pPr>
      <w:rPr>
        <w:rFonts w:hint="eastAsia"/>
        <w:color w:val="auto"/>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41" w15:restartNumberingAfterBreak="0">
    <w:nsid w:val="73083CB6"/>
    <w:multiLevelType w:val="hybridMultilevel"/>
    <w:tmpl w:val="91A0525E"/>
    <w:lvl w:ilvl="0" w:tplc="0409000F">
      <w:start w:val="1"/>
      <w:numFmt w:val="decimal"/>
      <w:lvlText w:val="%1."/>
      <w:lvlJc w:val="left"/>
      <w:pPr>
        <w:ind w:left="1202" w:hanging="360"/>
      </w:pPr>
      <w:rPr>
        <w:rFonts w:hint="default"/>
      </w:rPr>
    </w:lvl>
    <w:lvl w:ilvl="1" w:tplc="04090003" w:tentative="1">
      <w:start w:val="1"/>
      <w:numFmt w:val="bullet"/>
      <w:lvlText w:val="o"/>
      <w:lvlJc w:val="left"/>
      <w:pPr>
        <w:ind w:left="1922" w:hanging="360"/>
      </w:pPr>
      <w:rPr>
        <w:rFonts w:ascii="Courier New" w:hAnsi="Courier New" w:cs="Courier New" w:hint="default"/>
      </w:rPr>
    </w:lvl>
    <w:lvl w:ilvl="2" w:tplc="04090005" w:tentative="1">
      <w:start w:val="1"/>
      <w:numFmt w:val="bullet"/>
      <w:lvlText w:val=""/>
      <w:lvlJc w:val="left"/>
      <w:pPr>
        <w:ind w:left="2642" w:hanging="360"/>
      </w:pPr>
      <w:rPr>
        <w:rFonts w:ascii="Wingdings" w:hAnsi="Wingdings" w:hint="default"/>
      </w:rPr>
    </w:lvl>
    <w:lvl w:ilvl="3" w:tplc="04090001" w:tentative="1">
      <w:start w:val="1"/>
      <w:numFmt w:val="bullet"/>
      <w:lvlText w:val=""/>
      <w:lvlJc w:val="left"/>
      <w:pPr>
        <w:ind w:left="3362" w:hanging="360"/>
      </w:pPr>
      <w:rPr>
        <w:rFonts w:ascii="Symbol" w:hAnsi="Symbol" w:hint="default"/>
      </w:rPr>
    </w:lvl>
    <w:lvl w:ilvl="4" w:tplc="04090003" w:tentative="1">
      <w:start w:val="1"/>
      <w:numFmt w:val="bullet"/>
      <w:lvlText w:val="o"/>
      <w:lvlJc w:val="left"/>
      <w:pPr>
        <w:ind w:left="4082" w:hanging="360"/>
      </w:pPr>
      <w:rPr>
        <w:rFonts w:ascii="Courier New" w:hAnsi="Courier New" w:cs="Courier New" w:hint="default"/>
      </w:rPr>
    </w:lvl>
    <w:lvl w:ilvl="5" w:tplc="04090005" w:tentative="1">
      <w:start w:val="1"/>
      <w:numFmt w:val="bullet"/>
      <w:lvlText w:val=""/>
      <w:lvlJc w:val="left"/>
      <w:pPr>
        <w:ind w:left="4802" w:hanging="360"/>
      </w:pPr>
      <w:rPr>
        <w:rFonts w:ascii="Wingdings" w:hAnsi="Wingdings" w:hint="default"/>
      </w:rPr>
    </w:lvl>
    <w:lvl w:ilvl="6" w:tplc="04090001" w:tentative="1">
      <w:start w:val="1"/>
      <w:numFmt w:val="bullet"/>
      <w:lvlText w:val=""/>
      <w:lvlJc w:val="left"/>
      <w:pPr>
        <w:ind w:left="5522" w:hanging="360"/>
      </w:pPr>
      <w:rPr>
        <w:rFonts w:ascii="Symbol" w:hAnsi="Symbol" w:hint="default"/>
      </w:rPr>
    </w:lvl>
    <w:lvl w:ilvl="7" w:tplc="04090003" w:tentative="1">
      <w:start w:val="1"/>
      <w:numFmt w:val="bullet"/>
      <w:lvlText w:val="o"/>
      <w:lvlJc w:val="left"/>
      <w:pPr>
        <w:ind w:left="6242" w:hanging="360"/>
      </w:pPr>
      <w:rPr>
        <w:rFonts w:ascii="Courier New" w:hAnsi="Courier New" w:cs="Courier New" w:hint="default"/>
      </w:rPr>
    </w:lvl>
    <w:lvl w:ilvl="8" w:tplc="04090005" w:tentative="1">
      <w:start w:val="1"/>
      <w:numFmt w:val="bullet"/>
      <w:lvlText w:val=""/>
      <w:lvlJc w:val="left"/>
      <w:pPr>
        <w:ind w:left="6962" w:hanging="360"/>
      </w:pPr>
      <w:rPr>
        <w:rFonts w:ascii="Wingdings" w:hAnsi="Wingdings" w:hint="default"/>
      </w:rPr>
    </w:lvl>
  </w:abstractNum>
  <w:abstractNum w:abstractNumId="42" w15:restartNumberingAfterBreak="0">
    <w:nsid w:val="75865475"/>
    <w:multiLevelType w:val="multilevel"/>
    <w:tmpl w:val="2B42FCA6"/>
    <w:lvl w:ilvl="0">
      <w:start w:val="1"/>
      <w:numFmt w:val="decimal"/>
      <w:lvlText w:val="Article  %1"/>
      <w:lvlJc w:val="left"/>
      <w:pPr>
        <w:ind w:left="1106" w:hanging="1106"/>
      </w:pPr>
      <w:rPr>
        <w:rFonts w:hint="eastAsia"/>
        <w:b w:val="0"/>
        <w:i w:val="0"/>
      </w:rPr>
    </w:lvl>
    <w:lvl w:ilvl="1">
      <w:start w:val="1"/>
      <w:numFmt w:val="decimal"/>
      <w:lvlText w:val="%2."/>
      <w:lvlJc w:val="left"/>
      <w:pPr>
        <w:ind w:left="482" w:hanging="482"/>
      </w:pPr>
      <w:rPr>
        <w:rFonts w:hint="eastAsia"/>
        <w:b w:val="0"/>
        <w:i w:val="0"/>
        <w:sz w:val="24"/>
      </w:rPr>
    </w:lvl>
    <w:lvl w:ilvl="2">
      <w:start w:val="1"/>
      <w:numFmt w:val="decimal"/>
      <w:lvlText w:val="(%3)"/>
      <w:lvlJc w:val="left"/>
      <w:pPr>
        <w:ind w:left="964" w:hanging="482"/>
      </w:pPr>
      <w:rPr>
        <w:rFonts w:hint="eastAsia"/>
        <w:b w:val="0"/>
        <w:i w:val="0"/>
        <w:sz w:val="24"/>
      </w:rPr>
    </w:lvl>
    <w:lvl w:ilvl="3">
      <w:start w:val="1"/>
      <w:numFmt w:val="lowerLetter"/>
      <w:lvlText w:val="%4."/>
      <w:lvlJc w:val="left"/>
      <w:pPr>
        <w:ind w:left="1446" w:hanging="482"/>
      </w:pPr>
      <w:rPr>
        <w:rFonts w:hint="eastAsia"/>
        <w:b w:val="0"/>
        <w:i w:val="0"/>
        <w:sz w:val="28"/>
        <w:szCs w:val="28"/>
      </w:rPr>
    </w:lvl>
    <w:lvl w:ilvl="4">
      <w:start w:val="1"/>
      <w:numFmt w:val="lowerLetter"/>
      <w:lvlText w:val="(%5)"/>
      <w:lvlJc w:val="left"/>
      <w:pPr>
        <w:ind w:left="1871" w:hanging="425"/>
      </w:pPr>
      <w:rPr>
        <w:rFonts w:hint="eastAsia"/>
        <w:b w:val="0"/>
        <w:i w:val="0"/>
        <w:sz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3" w15:restartNumberingAfterBreak="0">
    <w:nsid w:val="77D330CC"/>
    <w:multiLevelType w:val="hybridMultilevel"/>
    <w:tmpl w:val="715E81BC"/>
    <w:lvl w:ilvl="0" w:tplc="A5DC7CF6">
      <w:start w:val="1"/>
      <w:numFmt w:val="upperLetter"/>
      <w:lvlText w:val="%1)"/>
      <w:lvlJc w:val="left"/>
      <w:pPr>
        <w:ind w:left="816" w:hanging="360"/>
      </w:pPr>
      <w:rPr>
        <w:rFonts w:hint="default"/>
      </w:rPr>
    </w:lvl>
    <w:lvl w:ilvl="1" w:tplc="20000019" w:tentative="1">
      <w:start w:val="1"/>
      <w:numFmt w:val="lowerLetter"/>
      <w:lvlText w:val="%2."/>
      <w:lvlJc w:val="left"/>
      <w:pPr>
        <w:ind w:left="1536" w:hanging="360"/>
      </w:pPr>
    </w:lvl>
    <w:lvl w:ilvl="2" w:tplc="2000001B" w:tentative="1">
      <w:start w:val="1"/>
      <w:numFmt w:val="lowerRoman"/>
      <w:lvlText w:val="%3."/>
      <w:lvlJc w:val="right"/>
      <w:pPr>
        <w:ind w:left="2256" w:hanging="180"/>
      </w:pPr>
    </w:lvl>
    <w:lvl w:ilvl="3" w:tplc="2000000F" w:tentative="1">
      <w:start w:val="1"/>
      <w:numFmt w:val="decimal"/>
      <w:lvlText w:val="%4."/>
      <w:lvlJc w:val="left"/>
      <w:pPr>
        <w:ind w:left="2976" w:hanging="360"/>
      </w:pPr>
    </w:lvl>
    <w:lvl w:ilvl="4" w:tplc="20000019" w:tentative="1">
      <w:start w:val="1"/>
      <w:numFmt w:val="lowerLetter"/>
      <w:lvlText w:val="%5."/>
      <w:lvlJc w:val="left"/>
      <w:pPr>
        <w:ind w:left="3696" w:hanging="360"/>
      </w:pPr>
    </w:lvl>
    <w:lvl w:ilvl="5" w:tplc="2000001B" w:tentative="1">
      <w:start w:val="1"/>
      <w:numFmt w:val="lowerRoman"/>
      <w:lvlText w:val="%6."/>
      <w:lvlJc w:val="right"/>
      <w:pPr>
        <w:ind w:left="4416" w:hanging="180"/>
      </w:pPr>
    </w:lvl>
    <w:lvl w:ilvl="6" w:tplc="2000000F" w:tentative="1">
      <w:start w:val="1"/>
      <w:numFmt w:val="decimal"/>
      <w:lvlText w:val="%7."/>
      <w:lvlJc w:val="left"/>
      <w:pPr>
        <w:ind w:left="5136" w:hanging="360"/>
      </w:pPr>
    </w:lvl>
    <w:lvl w:ilvl="7" w:tplc="20000019" w:tentative="1">
      <w:start w:val="1"/>
      <w:numFmt w:val="lowerLetter"/>
      <w:lvlText w:val="%8."/>
      <w:lvlJc w:val="left"/>
      <w:pPr>
        <w:ind w:left="5856" w:hanging="360"/>
      </w:pPr>
    </w:lvl>
    <w:lvl w:ilvl="8" w:tplc="2000001B" w:tentative="1">
      <w:start w:val="1"/>
      <w:numFmt w:val="lowerRoman"/>
      <w:lvlText w:val="%9."/>
      <w:lvlJc w:val="right"/>
      <w:pPr>
        <w:ind w:left="6576" w:hanging="180"/>
      </w:pPr>
    </w:lvl>
  </w:abstractNum>
  <w:abstractNum w:abstractNumId="44" w15:restartNumberingAfterBreak="0">
    <w:nsid w:val="7B6473D0"/>
    <w:multiLevelType w:val="multilevel"/>
    <w:tmpl w:val="516E792E"/>
    <w:lvl w:ilvl="0">
      <w:start w:val="1"/>
      <w:numFmt w:val="decimal"/>
      <w:lvlText w:val="Article  %1"/>
      <w:lvlJc w:val="left"/>
      <w:pPr>
        <w:ind w:left="964" w:hanging="964"/>
      </w:pPr>
      <w:rPr>
        <w:rFonts w:hint="eastAsia"/>
        <w:b/>
        <w:i w:val="0"/>
        <w:color w:val="0F243E" w:themeColor="text2" w:themeShade="80"/>
        <w:u w:val="none"/>
      </w:rPr>
    </w:lvl>
    <w:lvl w:ilvl="1">
      <w:start w:val="1"/>
      <w:numFmt w:val="decimal"/>
      <w:lvlText w:val="%2."/>
      <w:lvlJc w:val="left"/>
      <w:pPr>
        <w:ind w:left="482" w:hanging="482"/>
      </w:pPr>
      <w:rPr>
        <w:rFonts w:hint="eastAsia"/>
        <w:b w:val="0"/>
        <w:i w:val="0"/>
        <w:strike w:val="0"/>
        <w:color w:val="auto"/>
        <w:sz w:val="20"/>
        <w:szCs w:val="20"/>
        <w:u w:val="none"/>
      </w:rPr>
    </w:lvl>
    <w:lvl w:ilvl="2">
      <w:start w:val="1"/>
      <w:numFmt w:val="decimal"/>
      <w:lvlText w:val="(%3)"/>
      <w:lvlJc w:val="left"/>
      <w:pPr>
        <w:ind w:left="964" w:hanging="482"/>
      </w:pPr>
      <w:rPr>
        <w:rFonts w:hint="eastAsia"/>
        <w:b w:val="0"/>
        <w:i w:val="0"/>
        <w:color w:val="auto"/>
        <w:sz w:val="20"/>
        <w:szCs w:val="20"/>
        <w:u w:val="none"/>
      </w:rPr>
    </w:lvl>
    <w:lvl w:ilvl="3">
      <w:start w:val="1"/>
      <w:numFmt w:val="lowerLetter"/>
      <w:lvlText w:val="(%4)"/>
      <w:lvlJc w:val="left"/>
      <w:pPr>
        <w:ind w:left="1446" w:hanging="482"/>
      </w:pPr>
      <w:rPr>
        <w:rFonts w:hint="eastAsia"/>
        <w:b w:val="0"/>
        <w:i w:val="0"/>
        <w:sz w:val="20"/>
        <w:szCs w:val="20"/>
      </w:rPr>
    </w:lvl>
    <w:lvl w:ilvl="4">
      <w:start w:val="1"/>
      <w:numFmt w:val="lowerLetter"/>
      <w:lvlText w:val="%5."/>
      <w:lvlJc w:val="left"/>
      <w:pPr>
        <w:ind w:left="1871" w:hanging="425"/>
      </w:pPr>
      <w:rPr>
        <w:rFonts w:hint="eastAsia"/>
        <w:b w:val="0"/>
        <w:i w:val="0"/>
        <w:sz w:val="20"/>
        <w:szCs w:val="20"/>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944920637">
    <w:abstractNumId w:val="10"/>
  </w:num>
  <w:num w:numId="2" w16cid:durableId="45960072">
    <w:abstractNumId w:val="9"/>
  </w:num>
  <w:num w:numId="3" w16cid:durableId="67073631">
    <w:abstractNumId w:val="14"/>
  </w:num>
  <w:num w:numId="4" w16cid:durableId="94978703">
    <w:abstractNumId w:val="15"/>
  </w:num>
  <w:num w:numId="5" w16cid:durableId="962661183">
    <w:abstractNumId w:val="44"/>
  </w:num>
  <w:num w:numId="6" w16cid:durableId="1706098717">
    <w:abstractNumId w:val="33"/>
  </w:num>
  <w:num w:numId="7" w16cid:durableId="237833304">
    <w:abstractNumId w:val="34"/>
  </w:num>
  <w:num w:numId="8" w16cid:durableId="1001469340">
    <w:abstractNumId w:val="17"/>
  </w:num>
  <w:num w:numId="9" w16cid:durableId="308631681">
    <w:abstractNumId w:val="3"/>
  </w:num>
  <w:num w:numId="10" w16cid:durableId="59987800">
    <w:abstractNumId w:val="7"/>
  </w:num>
  <w:num w:numId="11" w16cid:durableId="158473492">
    <w:abstractNumId w:val="22"/>
  </w:num>
  <w:num w:numId="12" w16cid:durableId="232472581">
    <w:abstractNumId w:val="42"/>
  </w:num>
  <w:num w:numId="13" w16cid:durableId="1751847100">
    <w:abstractNumId w:val="31"/>
  </w:num>
  <w:num w:numId="14" w16cid:durableId="7753767">
    <w:abstractNumId w:val="16"/>
  </w:num>
  <w:num w:numId="15" w16cid:durableId="734276952">
    <w:abstractNumId w:val="30"/>
  </w:num>
  <w:num w:numId="16" w16cid:durableId="2047288495">
    <w:abstractNumId w:val="28"/>
  </w:num>
  <w:num w:numId="17" w16cid:durableId="1541624311">
    <w:abstractNumId w:val="39"/>
  </w:num>
  <w:num w:numId="18" w16cid:durableId="11680595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29057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504684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701285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186829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4530724">
    <w:abstractNumId w:val="1"/>
  </w:num>
  <w:num w:numId="24" w16cid:durableId="2014796133">
    <w:abstractNumId w:val="41"/>
  </w:num>
  <w:num w:numId="25" w16cid:durableId="931012443">
    <w:abstractNumId w:val="11"/>
  </w:num>
  <w:num w:numId="26" w16cid:durableId="2061512684">
    <w:abstractNumId w:val="8"/>
  </w:num>
  <w:num w:numId="27" w16cid:durableId="1903178745">
    <w:abstractNumId w:val="26"/>
  </w:num>
  <w:num w:numId="28" w16cid:durableId="1191139562">
    <w:abstractNumId w:val="37"/>
  </w:num>
  <w:num w:numId="29" w16cid:durableId="1500930060">
    <w:abstractNumId w:val="29"/>
  </w:num>
  <w:num w:numId="30" w16cid:durableId="1851869622">
    <w:abstractNumId w:val="35"/>
  </w:num>
  <w:num w:numId="31" w16cid:durableId="1696153107">
    <w:abstractNumId w:val="25"/>
  </w:num>
  <w:num w:numId="32" w16cid:durableId="963120739">
    <w:abstractNumId w:val="6"/>
  </w:num>
  <w:num w:numId="33" w16cid:durableId="154346936">
    <w:abstractNumId w:val="36"/>
  </w:num>
  <w:num w:numId="34" w16cid:durableId="1002272332">
    <w:abstractNumId w:val="12"/>
  </w:num>
  <w:num w:numId="35" w16cid:durableId="1971858583">
    <w:abstractNumId w:val="0"/>
  </w:num>
  <w:num w:numId="36" w16cid:durableId="743798728">
    <w:abstractNumId w:val="43"/>
  </w:num>
  <w:num w:numId="37" w16cid:durableId="1061752809">
    <w:abstractNumId w:val="19"/>
  </w:num>
  <w:num w:numId="38" w16cid:durableId="908809823">
    <w:abstractNumId w:val="2"/>
  </w:num>
  <w:num w:numId="39" w16cid:durableId="266815200">
    <w:abstractNumId w:val="32"/>
  </w:num>
  <w:num w:numId="40" w16cid:durableId="290943678">
    <w:abstractNumId w:val="23"/>
  </w:num>
  <w:num w:numId="41" w16cid:durableId="404835696">
    <w:abstractNumId w:val="40"/>
  </w:num>
  <w:num w:numId="42" w16cid:durableId="1363021825">
    <w:abstractNumId w:val="20"/>
  </w:num>
  <w:num w:numId="43" w16cid:durableId="222328638">
    <w:abstractNumId w:val="18"/>
  </w:num>
  <w:num w:numId="44" w16cid:durableId="1984265664">
    <w:abstractNumId w:val="21"/>
  </w:num>
  <w:num w:numId="45" w16cid:durableId="1294291990">
    <w:abstractNumId w:val="5"/>
  </w:num>
  <w:num w:numId="46" w16cid:durableId="580676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80"/>
  <w:drawingGridHorizontalSpacing w:val="120"/>
  <w:drawingGridVerticalSpacing w:val="359"/>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2AA"/>
    <w:rsid w:val="00000BAE"/>
    <w:rsid w:val="00002F63"/>
    <w:rsid w:val="00003FB2"/>
    <w:rsid w:val="00004FE0"/>
    <w:rsid w:val="000075E9"/>
    <w:rsid w:val="0001280B"/>
    <w:rsid w:val="00015692"/>
    <w:rsid w:val="00020CEE"/>
    <w:rsid w:val="000304A6"/>
    <w:rsid w:val="00031064"/>
    <w:rsid w:val="0003139B"/>
    <w:rsid w:val="00032AA3"/>
    <w:rsid w:val="00033D79"/>
    <w:rsid w:val="0003508F"/>
    <w:rsid w:val="00035CE5"/>
    <w:rsid w:val="00037F93"/>
    <w:rsid w:val="00042CD9"/>
    <w:rsid w:val="00043FCE"/>
    <w:rsid w:val="000441A7"/>
    <w:rsid w:val="0004532D"/>
    <w:rsid w:val="00050C6A"/>
    <w:rsid w:val="000510AC"/>
    <w:rsid w:val="00054DC6"/>
    <w:rsid w:val="00057F82"/>
    <w:rsid w:val="0006119A"/>
    <w:rsid w:val="0006324B"/>
    <w:rsid w:val="000633BB"/>
    <w:rsid w:val="00067522"/>
    <w:rsid w:val="00070AD6"/>
    <w:rsid w:val="00071F0B"/>
    <w:rsid w:val="00072215"/>
    <w:rsid w:val="00073C0A"/>
    <w:rsid w:val="00076EB3"/>
    <w:rsid w:val="000810A0"/>
    <w:rsid w:val="00081C67"/>
    <w:rsid w:val="0008717E"/>
    <w:rsid w:val="00087641"/>
    <w:rsid w:val="00091FC8"/>
    <w:rsid w:val="00092BC9"/>
    <w:rsid w:val="00093414"/>
    <w:rsid w:val="000937FF"/>
    <w:rsid w:val="00093CBD"/>
    <w:rsid w:val="0009643E"/>
    <w:rsid w:val="00096A2D"/>
    <w:rsid w:val="000A1DBC"/>
    <w:rsid w:val="000A3617"/>
    <w:rsid w:val="000A4085"/>
    <w:rsid w:val="000A484E"/>
    <w:rsid w:val="000B1736"/>
    <w:rsid w:val="000B6B4C"/>
    <w:rsid w:val="000B6EAF"/>
    <w:rsid w:val="000B7CA6"/>
    <w:rsid w:val="000C03EB"/>
    <w:rsid w:val="000C197E"/>
    <w:rsid w:val="000C281A"/>
    <w:rsid w:val="000C7283"/>
    <w:rsid w:val="000D0347"/>
    <w:rsid w:val="000D08AC"/>
    <w:rsid w:val="000D1F4A"/>
    <w:rsid w:val="000D29B7"/>
    <w:rsid w:val="000D33C9"/>
    <w:rsid w:val="000E2C2E"/>
    <w:rsid w:val="000E4C69"/>
    <w:rsid w:val="000E5C80"/>
    <w:rsid w:val="000E67B3"/>
    <w:rsid w:val="000E753B"/>
    <w:rsid w:val="000F6387"/>
    <w:rsid w:val="00102D4C"/>
    <w:rsid w:val="00106269"/>
    <w:rsid w:val="00106535"/>
    <w:rsid w:val="00111A13"/>
    <w:rsid w:val="00114474"/>
    <w:rsid w:val="0011796E"/>
    <w:rsid w:val="00117F25"/>
    <w:rsid w:val="00121DF2"/>
    <w:rsid w:val="001238B7"/>
    <w:rsid w:val="0012427D"/>
    <w:rsid w:val="00131622"/>
    <w:rsid w:val="00132768"/>
    <w:rsid w:val="00134FB8"/>
    <w:rsid w:val="00145B48"/>
    <w:rsid w:val="00145F62"/>
    <w:rsid w:val="001476DC"/>
    <w:rsid w:val="00155479"/>
    <w:rsid w:val="00163054"/>
    <w:rsid w:val="00165EB3"/>
    <w:rsid w:val="00173266"/>
    <w:rsid w:val="00173B7E"/>
    <w:rsid w:val="00180212"/>
    <w:rsid w:val="00182CFF"/>
    <w:rsid w:val="00183E79"/>
    <w:rsid w:val="0018434B"/>
    <w:rsid w:val="00194E42"/>
    <w:rsid w:val="001A2221"/>
    <w:rsid w:val="001A66CB"/>
    <w:rsid w:val="001A764F"/>
    <w:rsid w:val="001B1C97"/>
    <w:rsid w:val="001B4824"/>
    <w:rsid w:val="001B60D2"/>
    <w:rsid w:val="001B7096"/>
    <w:rsid w:val="001C001D"/>
    <w:rsid w:val="001C4360"/>
    <w:rsid w:val="001C7568"/>
    <w:rsid w:val="001D1DCF"/>
    <w:rsid w:val="001E22EB"/>
    <w:rsid w:val="001E5443"/>
    <w:rsid w:val="001E6F65"/>
    <w:rsid w:val="001F098D"/>
    <w:rsid w:val="001F6641"/>
    <w:rsid w:val="001F6E7A"/>
    <w:rsid w:val="001F73BC"/>
    <w:rsid w:val="00202A8D"/>
    <w:rsid w:val="0021055B"/>
    <w:rsid w:val="00214D2F"/>
    <w:rsid w:val="002159DB"/>
    <w:rsid w:val="0022050E"/>
    <w:rsid w:val="00221051"/>
    <w:rsid w:val="00225893"/>
    <w:rsid w:val="00232746"/>
    <w:rsid w:val="0023462E"/>
    <w:rsid w:val="0024059F"/>
    <w:rsid w:val="00242105"/>
    <w:rsid w:val="002431D0"/>
    <w:rsid w:val="00243BED"/>
    <w:rsid w:val="002517AF"/>
    <w:rsid w:val="0026036F"/>
    <w:rsid w:val="00261A08"/>
    <w:rsid w:val="0026334E"/>
    <w:rsid w:val="00272048"/>
    <w:rsid w:val="00276674"/>
    <w:rsid w:val="00277C78"/>
    <w:rsid w:val="00280F8F"/>
    <w:rsid w:val="00283C7B"/>
    <w:rsid w:val="00285D46"/>
    <w:rsid w:val="00286DDE"/>
    <w:rsid w:val="002914EB"/>
    <w:rsid w:val="00291886"/>
    <w:rsid w:val="002928B6"/>
    <w:rsid w:val="00293CCE"/>
    <w:rsid w:val="0029443D"/>
    <w:rsid w:val="00297E7A"/>
    <w:rsid w:val="002A0489"/>
    <w:rsid w:val="002A0AC0"/>
    <w:rsid w:val="002A240E"/>
    <w:rsid w:val="002A591A"/>
    <w:rsid w:val="002A6F83"/>
    <w:rsid w:val="002B24A3"/>
    <w:rsid w:val="002B534C"/>
    <w:rsid w:val="002B56EC"/>
    <w:rsid w:val="002B5ADC"/>
    <w:rsid w:val="002B606B"/>
    <w:rsid w:val="002C2725"/>
    <w:rsid w:val="002C52FF"/>
    <w:rsid w:val="002C5BEF"/>
    <w:rsid w:val="002D256D"/>
    <w:rsid w:val="002D3B1B"/>
    <w:rsid w:val="002E12B6"/>
    <w:rsid w:val="002E2D6B"/>
    <w:rsid w:val="002E474E"/>
    <w:rsid w:val="002E4AD8"/>
    <w:rsid w:val="002E6380"/>
    <w:rsid w:val="002E7696"/>
    <w:rsid w:val="002F1AC8"/>
    <w:rsid w:val="002F666F"/>
    <w:rsid w:val="002F798C"/>
    <w:rsid w:val="003010EF"/>
    <w:rsid w:val="00310265"/>
    <w:rsid w:val="00320C43"/>
    <w:rsid w:val="00323F72"/>
    <w:rsid w:val="003340B0"/>
    <w:rsid w:val="00335F76"/>
    <w:rsid w:val="00340426"/>
    <w:rsid w:val="00340697"/>
    <w:rsid w:val="003426BB"/>
    <w:rsid w:val="00347C37"/>
    <w:rsid w:val="00351061"/>
    <w:rsid w:val="00353C9D"/>
    <w:rsid w:val="003564C7"/>
    <w:rsid w:val="0037057D"/>
    <w:rsid w:val="0037122C"/>
    <w:rsid w:val="00371DE8"/>
    <w:rsid w:val="00381F13"/>
    <w:rsid w:val="00382EA1"/>
    <w:rsid w:val="00387160"/>
    <w:rsid w:val="00390663"/>
    <w:rsid w:val="00394D37"/>
    <w:rsid w:val="00394F40"/>
    <w:rsid w:val="00396F4D"/>
    <w:rsid w:val="003A415A"/>
    <w:rsid w:val="003A6855"/>
    <w:rsid w:val="003B17F3"/>
    <w:rsid w:val="003B2E54"/>
    <w:rsid w:val="003B570D"/>
    <w:rsid w:val="003B6126"/>
    <w:rsid w:val="003B61BB"/>
    <w:rsid w:val="003C32BF"/>
    <w:rsid w:val="003C66E2"/>
    <w:rsid w:val="003D051F"/>
    <w:rsid w:val="003D0DCE"/>
    <w:rsid w:val="003D5E54"/>
    <w:rsid w:val="003E029A"/>
    <w:rsid w:val="003E3465"/>
    <w:rsid w:val="003E3EEF"/>
    <w:rsid w:val="003E5B44"/>
    <w:rsid w:val="003E65C5"/>
    <w:rsid w:val="003F429B"/>
    <w:rsid w:val="00402350"/>
    <w:rsid w:val="004042BD"/>
    <w:rsid w:val="004125D4"/>
    <w:rsid w:val="00414F14"/>
    <w:rsid w:val="00415B31"/>
    <w:rsid w:val="0041620A"/>
    <w:rsid w:val="00416EB2"/>
    <w:rsid w:val="00424E40"/>
    <w:rsid w:val="0043465B"/>
    <w:rsid w:val="0043588E"/>
    <w:rsid w:val="00441E88"/>
    <w:rsid w:val="00444008"/>
    <w:rsid w:val="00447926"/>
    <w:rsid w:val="00447CF6"/>
    <w:rsid w:val="004502CF"/>
    <w:rsid w:val="0045184E"/>
    <w:rsid w:val="00460B9D"/>
    <w:rsid w:val="00465106"/>
    <w:rsid w:val="00472C4A"/>
    <w:rsid w:val="00474036"/>
    <w:rsid w:val="00482DAF"/>
    <w:rsid w:val="00483B5F"/>
    <w:rsid w:val="004853E7"/>
    <w:rsid w:val="00487A7D"/>
    <w:rsid w:val="00487C2E"/>
    <w:rsid w:val="00490715"/>
    <w:rsid w:val="00490C50"/>
    <w:rsid w:val="00490E17"/>
    <w:rsid w:val="00491B74"/>
    <w:rsid w:val="00491FBB"/>
    <w:rsid w:val="004A20E6"/>
    <w:rsid w:val="004A2F90"/>
    <w:rsid w:val="004A598D"/>
    <w:rsid w:val="004B0E4B"/>
    <w:rsid w:val="004B244B"/>
    <w:rsid w:val="004B4B07"/>
    <w:rsid w:val="004C0DA4"/>
    <w:rsid w:val="004C2E60"/>
    <w:rsid w:val="004C2F04"/>
    <w:rsid w:val="004C4D97"/>
    <w:rsid w:val="004D173C"/>
    <w:rsid w:val="004D34F8"/>
    <w:rsid w:val="004D3E93"/>
    <w:rsid w:val="004D6DF6"/>
    <w:rsid w:val="004E0B6A"/>
    <w:rsid w:val="004E1DAB"/>
    <w:rsid w:val="004E3484"/>
    <w:rsid w:val="004E6AA6"/>
    <w:rsid w:val="004E6B26"/>
    <w:rsid w:val="004E6F0B"/>
    <w:rsid w:val="004F0B0C"/>
    <w:rsid w:val="004F1FD2"/>
    <w:rsid w:val="004F3841"/>
    <w:rsid w:val="004F3ACF"/>
    <w:rsid w:val="00502064"/>
    <w:rsid w:val="005055F9"/>
    <w:rsid w:val="00506F6F"/>
    <w:rsid w:val="00511C80"/>
    <w:rsid w:val="0051224C"/>
    <w:rsid w:val="005201DE"/>
    <w:rsid w:val="00520F35"/>
    <w:rsid w:val="005227D4"/>
    <w:rsid w:val="005243EE"/>
    <w:rsid w:val="00524531"/>
    <w:rsid w:val="005266E4"/>
    <w:rsid w:val="00531A1A"/>
    <w:rsid w:val="00535147"/>
    <w:rsid w:val="00541A71"/>
    <w:rsid w:val="00543425"/>
    <w:rsid w:val="00544F2B"/>
    <w:rsid w:val="00545DEA"/>
    <w:rsid w:val="00551498"/>
    <w:rsid w:val="00552899"/>
    <w:rsid w:val="005573E2"/>
    <w:rsid w:val="005626E0"/>
    <w:rsid w:val="00563564"/>
    <w:rsid w:val="00570BCF"/>
    <w:rsid w:val="00572295"/>
    <w:rsid w:val="00573F61"/>
    <w:rsid w:val="00574575"/>
    <w:rsid w:val="00574655"/>
    <w:rsid w:val="005769AD"/>
    <w:rsid w:val="0057730F"/>
    <w:rsid w:val="00583AF1"/>
    <w:rsid w:val="005845FA"/>
    <w:rsid w:val="005856FD"/>
    <w:rsid w:val="00590818"/>
    <w:rsid w:val="00590DEE"/>
    <w:rsid w:val="00593558"/>
    <w:rsid w:val="00595253"/>
    <w:rsid w:val="00596302"/>
    <w:rsid w:val="00596B26"/>
    <w:rsid w:val="00597800"/>
    <w:rsid w:val="005B18BE"/>
    <w:rsid w:val="005B20DD"/>
    <w:rsid w:val="005D0A70"/>
    <w:rsid w:val="005D6225"/>
    <w:rsid w:val="005D78FA"/>
    <w:rsid w:val="005E2060"/>
    <w:rsid w:val="005E2CCE"/>
    <w:rsid w:val="005E377B"/>
    <w:rsid w:val="005E3905"/>
    <w:rsid w:val="005E44B8"/>
    <w:rsid w:val="005E4830"/>
    <w:rsid w:val="005E64F5"/>
    <w:rsid w:val="005F1D3A"/>
    <w:rsid w:val="006010AD"/>
    <w:rsid w:val="00607D13"/>
    <w:rsid w:val="006112E4"/>
    <w:rsid w:val="00615957"/>
    <w:rsid w:val="00617539"/>
    <w:rsid w:val="00621829"/>
    <w:rsid w:val="006226DA"/>
    <w:rsid w:val="006229C6"/>
    <w:rsid w:val="0062487C"/>
    <w:rsid w:val="00630170"/>
    <w:rsid w:val="0063315E"/>
    <w:rsid w:val="006348C8"/>
    <w:rsid w:val="00637B3C"/>
    <w:rsid w:val="00637B47"/>
    <w:rsid w:val="00644C7F"/>
    <w:rsid w:val="00645306"/>
    <w:rsid w:val="00647FC1"/>
    <w:rsid w:val="00654A27"/>
    <w:rsid w:val="006559EB"/>
    <w:rsid w:val="006605D3"/>
    <w:rsid w:val="006606A4"/>
    <w:rsid w:val="00661483"/>
    <w:rsid w:val="00662C4F"/>
    <w:rsid w:val="00662C8A"/>
    <w:rsid w:val="00664018"/>
    <w:rsid w:val="00670C43"/>
    <w:rsid w:val="0067698F"/>
    <w:rsid w:val="00676A06"/>
    <w:rsid w:val="00677C16"/>
    <w:rsid w:val="00680CDD"/>
    <w:rsid w:val="0068674B"/>
    <w:rsid w:val="0069409B"/>
    <w:rsid w:val="00695990"/>
    <w:rsid w:val="00696084"/>
    <w:rsid w:val="006A0714"/>
    <w:rsid w:val="006A5E11"/>
    <w:rsid w:val="006A6FA7"/>
    <w:rsid w:val="006A7645"/>
    <w:rsid w:val="006B0290"/>
    <w:rsid w:val="006B1688"/>
    <w:rsid w:val="006B3699"/>
    <w:rsid w:val="006C3129"/>
    <w:rsid w:val="006C38E4"/>
    <w:rsid w:val="006C4166"/>
    <w:rsid w:val="006C4648"/>
    <w:rsid w:val="006C47E3"/>
    <w:rsid w:val="006C5E02"/>
    <w:rsid w:val="006C697A"/>
    <w:rsid w:val="006D27A4"/>
    <w:rsid w:val="006D66BF"/>
    <w:rsid w:val="006D7879"/>
    <w:rsid w:val="006E2A2B"/>
    <w:rsid w:val="006E463F"/>
    <w:rsid w:val="006E71F2"/>
    <w:rsid w:val="006F29AF"/>
    <w:rsid w:val="006F2F9B"/>
    <w:rsid w:val="006F4F4E"/>
    <w:rsid w:val="006F68AF"/>
    <w:rsid w:val="006F7B64"/>
    <w:rsid w:val="006F7C30"/>
    <w:rsid w:val="007005AB"/>
    <w:rsid w:val="00702AB0"/>
    <w:rsid w:val="007037EA"/>
    <w:rsid w:val="00703B9A"/>
    <w:rsid w:val="007052C1"/>
    <w:rsid w:val="00710359"/>
    <w:rsid w:val="007118FC"/>
    <w:rsid w:val="00711D70"/>
    <w:rsid w:val="00713EB7"/>
    <w:rsid w:val="0072083A"/>
    <w:rsid w:val="007241D5"/>
    <w:rsid w:val="00725916"/>
    <w:rsid w:val="0073156E"/>
    <w:rsid w:val="00731FB0"/>
    <w:rsid w:val="00735157"/>
    <w:rsid w:val="0074103C"/>
    <w:rsid w:val="0074181C"/>
    <w:rsid w:val="00744111"/>
    <w:rsid w:val="00751079"/>
    <w:rsid w:val="00751760"/>
    <w:rsid w:val="00752E04"/>
    <w:rsid w:val="007536B1"/>
    <w:rsid w:val="00754C10"/>
    <w:rsid w:val="00765732"/>
    <w:rsid w:val="00765DF5"/>
    <w:rsid w:val="00766485"/>
    <w:rsid w:val="00767D0C"/>
    <w:rsid w:val="00771887"/>
    <w:rsid w:val="00771ACF"/>
    <w:rsid w:val="00772D65"/>
    <w:rsid w:val="007810B7"/>
    <w:rsid w:val="0078318C"/>
    <w:rsid w:val="00784507"/>
    <w:rsid w:val="00784A5C"/>
    <w:rsid w:val="00787C18"/>
    <w:rsid w:val="007A26ED"/>
    <w:rsid w:val="007A6A8D"/>
    <w:rsid w:val="007B43CC"/>
    <w:rsid w:val="007C07AF"/>
    <w:rsid w:val="007C1B75"/>
    <w:rsid w:val="007C20CA"/>
    <w:rsid w:val="007C4B46"/>
    <w:rsid w:val="007D0507"/>
    <w:rsid w:val="007D1873"/>
    <w:rsid w:val="007E2952"/>
    <w:rsid w:val="007E4D93"/>
    <w:rsid w:val="007F334C"/>
    <w:rsid w:val="00801B59"/>
    <w:rsid w:val="0080211A"/>
    <w:rsid w:val="00803117"/>
    <w:rsid w:val="00804197"/>
    <w:rsid w:val="0080480B"/>
    <w:rsid w:val="00810967"/>
    <w:rsid w:val="008115E5"/>
    <w:rsid w:val="0081710D"/>
    <w:rsid w:val="0081791E"/>
    <w:rsid w:val="00822334"/>
    <w:rsid w:val="00822620"/>
    <w:rsid w:val="008232AD"/>
    <w:rsid w:val="008238D2"/>
    <w:rsid w:val="00824144"/>
    <w:rsid w:val="00830D5C"/>
    <w:rsid w:val="008331B5"/>
    <w:rsid w:val="00836ED5"/>
    <w:rsid w:val="0084275F"/>
    <w:rsid w:val="00844645"/>
    <w:rsid w:val="008510AD"/>
    <w:rsid w:val="008535D7"/>
    <w:rsid w:val="00853629"/>
    <w:rsid w:val="00853BE0"/>
    <w:rsid w:val="00854074"/>
    <w:rsid w:val="008644B7"/>
    <w:rsid w:val="0087052B"/>
    <w:rsid w:val="008725D4"/>
    <w:rsid w:val="00874CBD"/>
    <w:rsid w:val="00875F4A"/>
    <w:rsid w:val="008806DB"/>
    <w:rsid w:val="00892722"/>
    <w:rsid w:val="00894D56"/>
    <w:rsid w:val="00895040"/>
    <w:rsid w:val="00895C89"/>
    <w:rsid w:val="008A0276"/>
    <w:rsid w:val="008A1EBF"/>
    <w:rsid w:val="008A2848"/>
    <w:rsid w:val="008A3A2B"/>
    <w:rsid w:val="008A5B48"/>
    <w:rsid w:val="008A78F4"/>
    <w:rsid w:val="008B0D5C"/>
    <w:rsid w:val="008B283B"/>
    <w:rsid w:val="008B5D4D"/>
    <w:rsid w:val="008B76ED"/>
    <w:rsid w:val="008B7A30"/>
    <w:rsid w:val="008C0657"/>
    <w:rsid w:val="008C12E5"/>
    <w:rsid w:val="008C1C57"/>
    <w:rsid w:val="008C1F96"/>
    <w:rsid w:val="008C42BD"/>
    <w:rsid w:val="008C7D17"/>
    <w:rsid w:val="008E0929"/>
    <w:rsid w:val="008E176E"/>
    <w:rsid w:val="008E2A49"/>
    <w:rsid w:val="008E2B39"/>
    <w:rsid w:val="008E581C"/>
    <w:rsid w:val="008F012B"/>
    <w:rsid w:val="008F0DA4"/>
    <w:rsid w:val="008F2378"/>
    <w:rsid w:val="008F4F95"/>
    <w:rsid w:val="008F59D7"/>
    <w:rsid w:val="009007BE"/>
    <w:rsid w:val="009011F4"/>
    <w:rsid w:val="00904EDB"/>
    <w:rsid w:val="00905788"/>
    <w:rsid w:val="009113A3"/>
    <w:rsid w:val="00915F21"/>
    <w:rsid w:val="0091701A"/>
    <w:rsid w:val="009170A1"/>
    <w:rsid w:val="00921850"/>
    <w:rsid w:val="009241AC"/>
    <w:rsid w:val="009248BF"/>
    <w:rsid w:val="00925E7B"/>
    <w:rsid w:val="00927E9B"/>
    <w:rsid w:val="00933C5D"/>
    <w:rsid w:val="00933CCD"/>
    <w:rsid w:val="009407DE"/>
    <w:rsid w:val="009410E5"/>
    <w:rsid w:val="009421FE"/>
    <w:rsid w:val="00951922"/>
    <w:rsid w:val="009539FF"/>
    <w:rsid w:val="00954214"/>
    <w:rsid w:val="00955650"/>
    <w:rsid w:val="00961166"/>
    <w:rsid w:val="00962A85"/>
    <w:rsid w:val="00971458"/>
    <w:rsid w:val="009719C7"/>
    <w:rsid w:val="0097249F"/>
    <w:rsid w:val="00972A46"/>
    <w:rsid w:val="00975CE2"/>
    <w:rsid w:val="0098023C"/>
    <w:rsid w:val="00990CDE"/>
    <w:rsid w:val="00995826"/>
    <w:rsid w:val="00996908"/>
    <w:rsid w:val="009A4AC6"/>
    <w:rsid w:val="009A6500"/>
    <w:rsid w:val="009A6734"/>
    <w:rsid w:val="009B13CF"/>
    <w:rsid w:val="009B63D6"/>
    <w:rsid w:val="009C2DA9"/>
    <w:rsid w:val="009C3B7A"/>
    <w:rsid w:val="009C4B40"/>
    <w:rsid w:val="009C511D"/>
    <w:rsid w:val="009D288C"/>
    <w:rsid w:val="009D3EA0"/>
    <w:rsid w:val="009D64D6"/>
    <w:rsid w:val="009E10A0"/>
    <w:rsid w:val="009E2DD5"/>
    <w:rsid w:val="009E3D39"/>
    <w:rsid w:val="009E4BFC"/>
    <w:rsid w:val="009E688B"/>
    <w:rsid w:val="009F5501"/>
    <w:rsid w:val="009F60F2"/>
    <w:rsid w:val="009F649D"/>
    <w:rsid w:val="009F7E1F"/>
    <w:rsid w:val="009F7FBE"/>
    <w:rsid w:val="00A00A6A"/>
    <w:rsid w:val="00A01FD8"/>
    <w:rsid w:val="00A02AE5"/>
    <w:rsid w:val="00A041F2"/>
    <w:rsid w:val="00A0559D"/>
    <w:rsid w:val="00A05C21"/>
    <w:rsid w:val="00A0687D"/>
    <w:rsid w:val="00A112B7"/>
    <w:rsid w:val="00A11A52"/>
    <w:rsid w:val="00A12C5A"/>
    <w:rsid w:val="00A13069"/>
    <w:rsid w:val="00A155D6"/>
    <w:rsid w:val="00A16F8A"/>
    <w:rsid w:val="00A22388"/>
    <w:rsid w:val="00A23834"/>
    <w:rsid w:val="00A27B71"/>
    <w:rsid w:val="00A27EAD"/>
    <w:rsid w:val="00A30393"/>
    <w:rsid w:val="00A322D4"/>
    <w:rsid w:val="00A33421"/>
    <w:rsid w:val="00A35C43"/>
    <w:rsid w:val="00A37C1C"/>
    <w:rsid w:val="00A52F26"/>
    <w:rsid w:val="00A5346F"/>
    <w:rsid w:val="00A72000"/>
    <w:rsid w:val="00A82CF9"/>
    <w:rsid w:val="00A86E4C"/>
    <w:rsid w:val="00A8768C"/>
    <w:rsid w:val="00A87BC5"/>
    <w:rsid w:val="00AA11C2"/>
    <w:rsid w:val="00AA3162"/>
    <w:rsid w:val="00AA4B03"/>
    <w:rsid w:val="00AB0AE4"/>
    <w:rsid w:val="00AB3338"/>
    <w:rsid w:val="00AB48A5"/>
    <w:rsid w:val="00AC022B"/>
    <w:rsid w:val="00AC1926"/>
    <w:rsid w:val="00AC422A"/>
    <w:rsid w:val="00AC5D12"/>
    <w:rsid w:val="00AD3B18"/>
    <w:rsid w:val="00AD541D"/>
    <w:rsid w:val="00AD694C"/>
    <w:rsid w:val="00AD6E12"/>
    <w:rsid w:val="00AE1A39"/>
    <w:rsid w:val="00AE1ACD"/>
    <w:rsid w:val="00AE6B14"/>
    <w:rsid w:val="00AE77B2"/>
    <w:rsid w:val="00AF0313"/>
    <w:rsid w:val="00AF19A9"/>
    <w:rsid w:val="00AF503E"/>
    <w:rsid w:val="00AF523E"/>
    <w:rsid w:val="00B00803"/>
    <w:rsid w:val="00B078DE"/>
    <w:rsid w:val="00B1029D"/>
    <w:rsid w:val="00B14AC8"/>
    <w:rsid w:val="00B17DFC"/>
    <w:rsid w:val="00B21219"/>
    <w:rsid w:val="00B2572F"/>
    <w:rsid w:val="00B307C4"/>
    <w:rsid w:val="00B3222B"/>
    <w:rsid w:val="00B32A5F"/>
    <w:rsid w:val="00B34FBE"/>
    <w:rsid w:val="00B43F93"/>
    <w:rsid w:val="00B550B0"/>
    <w:rsid w:val="00B55328"/>
    <w:rsid w:val="00B56049"/>
    <w:rsid w:val="00B652F1"/>
    <w:rsid w:val="00B66E00"/>
    <w:rsid w:val="00B67526"/>
    <w:rsid w:val="00B73EDD"/>
    <w:rsid w:val="00B75CA5"/>
    <w:rsid w:val="00B80380"/>
    <w:rsid w:val="00B8427C"/>
    <w:rsid w:val="00B85381"/>
    <w:rsid w:val="00B92DE3"/>
    <w:rsid w:val="00B931B0"/>
    <w:rsid w:val="00B94C44"/>
    <w:rsid w:val="00B94DFA"/>
    <w:rsid w:val="00BA1D70"/>
    <w:rsid w:val="00BA50A5"/>
    <w:rsid w:val="00BA6C98"/>
    <w:rsid w:val="00BB1EBF"/>
    <w:rsid w:val="00BC04C2"/>
    <w:rsid w:val="00BC0520"/>
    <w:rsid w:val="00BC082E"/>
    <w:rsid w:val="00BD1AC7"/>
    <w:rsid w:val="00BD3104"/>
    <w:rsid w:val="00BD7DAF"/>
    <w:rsid w:val="00BE1C3A"/>
    <w:rsid w:val="00BE2393"/>
    <w:rsid w:val="00BE3698"/>
    <w:rsid w:val="00BE3C43"/>
    <w:rsid w:val="00BE40FF"/>
    <w:rsid w:val="00BF2B9D"/>
    <w:rsid w:val="00BF3C57"/>
    <w:rsid w:val="00BF4B8C"/>
    <w:rsid w:val="00BF5C33"/>
    <w:rsid w:val="00BF5EE3"/>
    <w:rsid w:val="00BF6740"/>
    <w:rsid w:val="00C017A8"/>
    <w:rsid w:val="00C02DD0"/>
    <w:rsid w:val="00C1014D"/>
    <w:rsid w:val="00C10E74"/>
    <w:rsid w:val="00C14F1D"/>
    <w:rsid w:val="00C20447"/>
    <w:rsid w:val="00C21C79"/>
    <w:rsid w:val="00C243D0"/>
    <w:rsid w:val="00C27920"/>
    <w:rsid w:val="00C314A0"/>
    <w:rsid w:val="00C32A82"/>
    <w:rsid w:val="00C34907"/>
    <w:rsid w:val="00C35A1B"/>
    <w:rsid w:val="00C35B5E"/>
    <w:rsid w:val="00C36546"/>
    <w:rsid w:val="00C42FE1"/>
    <w:rsid w:val="00C45640"/>
    <w:rsid w:val="00C50974"/>
    <w:rsid w:val="00C617CA"/>
    <w:rsid w:val="00C61E3D"/>
    <w:rsid w:val="00C65FCA"/>
    <w:rsid w:val="00C6624D"/>
    <w:rsid w:val="00C66D0B"/>
    <w:rsid w:val="00C723EE"/>
    <w:rsid w:val="00C74E12"/>
    <w:rsid w:val="00C762D0"/>
    <w:rsid w:val="00C765D0"/>
    <w:rsid w:val="00C77CAC"/>
    <w:rsid w:val="00C77E85"/>
    <w:rsid w:val="00C82237"/>
    <w:rsid w:val="00C827A0"/>
    <w:rsid w:val="00C90D06"/>
    <w:rsid w:val="00C915CD"/>
    <w:rsid w:val="00C925C2"/>
    <w:rsid w:val="00C9286C"/>
    <w:rsid w:val="00C944C4"/>
    <w:rsid w:val="00C97723"/>
    <w:rsid w:val="00CA2E79"/>
    <w:rsid w:val="00CA3D60"/>
    <w:rsid w:val="00CB068C"/>
    <w:rsid w:val="00CB1AA1"/>
    <w:rsid w:val="00CB4092"/>
    <w:rsid w:val="00CB423B"/>
    <w:rsid w:val="00CB720D"/>
    <w:rsid w:val="00CB72C2"/>
    <w:rsid w:val="00CB76A5"/>
    <w:rsid w:val="00CD2AEC"/>
    <w:rsid w:val="00CD40C9"/>
    <w:rsid w:val="00CE3DB6"/>
    <w:rsid w:val="00CE6CFC"/>
    <w:rsid w:val="00CF1F9D"/>
    <w:rsid w:val="00CF44BD"/>
    <w:rsid w:val="00CF74EE"/>
    <w:rsid w:val="00D01743"/>
    <w:rsid w:val="00D01BB0"/>
    <w:rsid w:val="00D0618D"/>
    <w:rsid w:val="00D07EBB"/>
    <w:rsid w:val="00D11AC4"/>
    <w:rsid w:val="00D22501"/>
    <w:rsid w:val="00D22B4D"/>
    <w:rsid w:val="00D234E6"/>
    <w:rsid w:val="00D24A86"/>
    <w:rsid w:val="00D24CAC"/>
    <w:rsid w:val="00D25B0A"/>
    <w:rsid w:val="00D2795C"/>
    <w:rsid w:val="00D32A82"/>
    <w:rsid w:val="00D34FAC"/>
    <w:rsid w:val="00D353CF"/>
    <w:rsid w:val="00D356B9"/>
    <w:rsid w:val="00D36143"/>
    <w:rsid w:val="00D40FD6"/>
    <w:rsid w:val="00D4107B"/>
    <w:rsid w:val="00D50EF3"/>
    <w:rsid w:val="00D51132"/>
    <w:rsid w:val="00D52660"/>
    <w:rsid w:val="00D530FC"/>
    <w:rsid w:val="00D56B43"/>
    <w:rsid w:val="00D60803"/>
    <w:rsid w:val="00D6430B"/>
    <w:rsid w:val="00D650FB"/>
    <w:rsid w:val="00D73919"/>
    <w:rsid w:val="00D769F5"/>
    <w:rsid w:val="00D7734B"/>
    <w:rsid w:val="00D80496"/>
    <w:rsid w:val="00D810F4"/>
    <w:rsid w:val="00D838EF"/>
    <w:rsid w:val="00D84317"/>
    <w:rsid w:val="00D97F90"/>
    <w:rsid w:val="00DA38B8"/>
    <w:rsid w:val="00DA6EA9"/>
    <w:rsid w:val="00DB52B5"/>
    <w:rsid w:val="00DB6F86"/>
    <w:rsid w:val="00DC0B5A"/>
    <w:rsid w:val="00DC2BC0"/>
    <w:rsid w:val="00DC4400"/>
    <w:rsid w:val="00DC512F"/>
    <w:rsid w:val="00DC660B"/>
    <w:rsid w:val="00DD3C30"/>
    <w:rsid w:val="00DE4037"/>
    <w:rsid w:val="00DE4686"/>
    <w:rsid w:val="00DE7BFA"/>
    <w:rsid w:val="00DF1DB9"/>
    <w:rsid w:val="00DF3CA6"/>
    <w:rsid w:val="00DF5614"/>
    <w:rsid w:val="00DF6406"/>
    <w:rsid w:val="00E029F1"/>
    <w:rsid w:val="00E063DC"/>
    <w:rsid w:val="00E10659"/>
    <w:rsid w:val="00E133F2"/>
    <w:rsid w:val="00E15E31"/>
    <w:rsid w:val="00E25126"/>
    <w:rsid w:val="00E25E8A"/>
    <w:rsid w:val="00E267A8"/>
    <w:rsid w:val="00E309B3"/>
    <w:rsid w:val="00E321DA"/>
    <w:rsid w:val="00E362F7"/>
    <w:rsid w:val="00E4127D"/>
    <w:rsid w:val="00E443D4"/>
    <w:rsid w:val="00E46897"/>
    <w:rsid w:val="00E475AC"/>
    <w:rsid w:val="00E50050"/>
    <w:rsid w:val="00E53D05"/>
    <w:rsid w:val="00E547F1"/>
    <w:rsid w:val="00E549A4"/>
    <w:rsid w:val="00E55C49"/>
    <w:rsid w:val="00E56B66"/>
    <w:rsid w:val="00E60C26"/>
    <w:rsid w:val="00E63023"/>
    <w:rsid w:val="00E66F4F"/>
    <w:rsid w:val="00E67A5F"/>
    <w:rsid w:val="00E700DE"/>
    <w:rsid w:val="00E7310C"/>
    <w:rsid w:val="00E732ED"/>
    <w:rsid w:val="00E76A88"/>
    <w:rsid w:val="00E7750F"/>
    <w:rsid w:val="00E8009F"/>
    <w:rsid w:val="00E807EB"/>
    <w:rsid w:val="00E90B96"/>
    <w:rsid w:val="00EA0F72"/>
    <w:rsid w:val="00EA2EA5"/>
    <w:rsid w:val="00EA7762"/>
    <w:rsid w:val="00EB775D"/>
    <w:rsid w:val="00EC3C91"/>
    <w:rsid w:val="00EC40AE"/>
    <w:rsid w:val="00EC40CF"/>
    <w:rsid w:val="00EC6BE6"/>
    <w:rsid w:val="00EC700E"/>
    <w:rsid w:val="00EC729F"/>
    <w:rsid w:val="00EC7D8D"/>
    <w:rsid w:val="00ED0474"/>
    <w:rsid w:val="00ED1E80"/>
    <w:rsid w:val="00ED1EA1"/>
    <w:rsid w:val="00ED2A75"/>
    <w:rsid w:val="00ED2D9F"/>
    <w:rsid w:val="00ED5D72"/>
    <w:rsid w:val="00ED6E9C"/>
    <w:rsid w:val="00EE59AB"/>
    <w:rsid w:val="00EE74F6"/>
    <w:rsid w:val="00EF4996"/>
    <w:rsid w:val="00F01581"/>
    <w:rsid w:val="00F03C77"/>
    <w:rsid w:val="00F04987"/>
    <w:rsid w:val="00F12D0F"/>
    <w:rsid w:val="00F15662"/>
    <w:rsid w:val="00F203BA"/>
    <w:rsid w:val="00F21ED8"/>
    <w:rsid w:val="00F23D15"/>
    <w:rsid w:val="00F24492"/>
    <w:rsid w:val="00F252AA"/>
    <w:rsid w:val="00F2724D"/>
    <w:rsid w:val="00F363CD"/>
    <w:rsid w:val="00F363FE"/>
    <w:rsid w:val="00F40A5E"/>
    <w:rsid w:val="00F42A85"/>
    <w:rsid w:val="00F47156"/>
    <w:rsid w:val="00F5084D"/>
    <w:rsid w:val="00F50FC1"/>
    <w:rsid w:val="00F5157B"/>
    <w:rsid w:val="00F537DC"/>
    <w:rsid w:val="00F64E02"/>
    <w:rsid w:val="00F74DCA"/>
    <w:rsid w:val="00F75960"/>
    <w:rsid w:val="00F76FEE"/>
    <w:rsid w:val="00F77CB7"/>
    <w:rsid w:val="00F83CDE"/>
    <w:rsid w:val="00F87A23"/>
    <w:rsid w:val="00F912D4"/>
    <w:rsid w:val="00F94B67"/>
    <w:rsid w:val="00F94BF2"/>
    <w:rsid w:val="00F96B1F"/>
    <w:rsid w:val="00FA1146"/>
    <w:rsid w:val="00FA21D6"/>
    <w:rsid w:val="00FA40E9"/>
    <w:rsid w:val="00FB0C9B"/>
    <w:rsid w:val="00FB7D51"/>
    <w:rsid w:val="00FC0239"/>
    <w:rsid w:val="00FC035C"/>
    <w:rsid w:val="00FC3936"/>
    <w:rsid w:val="00FC570D"/>
    <w:rsid w:val="00FD08F3"/>
    <w:rsid w:val="00FD19CC"/>
    <w:rsid w:val="00FD1BE8"/>
    <w:rsid w:val="00FD6453"/>
    <w:rsid w:val="00FE1131"/>
    <w:rsid w:val="00FE5FC9"/>
    <w:rsid w:val="00FE733D"/>
    <w:rsid w:val="00FF1C5B"/>
    <w:rsid w:val="00FF27DA"/>
    <w:rsid w:val="00FF62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187F00"/>
  <w15:docId w15:val="{D7C08E44-095F-469B-9E65-49B9482F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B47"/>
    <w:pPr>
      <w:widowControl w:val="0"/>
      <w:spacing w:line="440" w:lineRule="exact"/>
    </w:pPr>
    <w:rPr>
      <w:kern w:val="2"/>
      <w:sz w:val="24"/>
      <w:szCs w:val="22"/>
    </w:rPr>
  </w:style>
  <w:style w:type="paragraph" w:styleId="Heading1">
    <w:name w:val="heading 1"/>
    <w:basedOn w:val="Normal"/>
    <w:next w:val="Normal"/>
    <w:link w:val="Heading1Char"/>
    <w:uiPriority w:val="9"/>
    <w:qFormat/>
    <w:rsid w:val="004440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307C4"/>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A1B"/>
    <w:pPr>
      <w:spacing w:line="240" w:lineRule="auto"/>
      <w:ind w:leftChars="200" w:left="480"/>
    </w:pPr>
  </w:style>
  <w:style w:type="paragraph" w:styleId="Header">
    <w:name w:val="header"/>
    <w:basedOn w:val="Normal"/>
    <w:link w:val="HeaderChar"/>
    <w:uiPriority w:val="99"/>
    <w:unhideWhenUsed/>
    <w:rsid w:val="00AF503E"/>
    <w:pPr>
      <w:tabs>
        <w:tab w:val="center" w:pos="4536"/>
        <w:tab w:val="right" w:pos="9072"/>
      </w:tabs>
      <w:snapToGrid w:val="0"/>
    </w:pPr>
    <w:rPr>
      <w:sz w:val="20"/>
      <w:szCs w:val="20"/>
    </w:rPr>
  </w:style>
  <w:style w:type="character" w:customStyle="1" w:styleId="HeaderChar">
    <w:name w:val="Header Char"/>
    <w:basedOn w:val="DefaultParagraphFont"/>
    <w:link w:val="Header"/>
    <w:uiPriority w:val="99"/>
    <w:rsid w:val="00AF503E"/>
    <w:rPr>
      <w:sz w:val="20"/>
      <w:szCs w:val="20"/>
    </w:rPr>
  </w:style>
  <w:style w:type="paragraph" w:styleId="Footer">
    <w:name w:val="footer"/>
    <w:basedOn w:val="Normal"/>
    <w:link w:val="FooterChar"/>
    <w:uiPriority w:val="99"/>
    <w:unhideWhenUsed/>
    <w:rsid w:val="00AF503E"/>
    <w:pPr>
      <w:tabs>
        <w:tab w:val="center" w:pos="4536"/>
        <w:tab w:val="right" w:pos="9072"/>
      </w:tabs>
      <w:snapToGrid w:val="0"/>
    </w:pPr>
    <w:rPr>
      <w:sz w:val="20"/>
      <w:szCs w:val="20"/>
    </w:rPr>
  </w:style>
  <w:style w:type="character" w:customStyle="1" w:styleId="FooterChar">
    <w:name w:val="Footer Char"/>
    <w:basedOn w:val="DefaultParagraphFont"/>
    <w:link w:val="Footer"/>
    <w:uiPriority w:val="99"/>
    <w:rsid w:val="00AF503E"/>
    <w:rPr>
      <w:sz w:val="20"/>
      <w:szCs w:val="20"/>
    </w:rPr>
  </w:style>
  <w:style w:type="paragraph" w:customStyle="1" w:styleId="Default">
    <w:name w:val="Default"/>
    <w:rsid w:val="00765DF5"/>
    <w:pPr>
      <w:widowControl w:val="0"/>
      <w:autoSpaceDE w:val="0"/>
      <w:autoSpaceDN w:val="0"/>
      <w:adjustRightInd w:val="0"/>
    </w:pPr>
    <w:rPr>
      <w:rFonts w:ascii="Cambria" w:hAnsi="Cambria" w:cs="Cambria"/>
      <w:color w:val="000000"/>
      <w:sz w:val="24"/>
      <w:szCs w:val="24"/>
    </w:rPr>
  </w:style>
  <w:style w:type="character" w:customStyle="1" w:styleId="apple-converted-space">
    <w:name w:val="apple-converted-space"/>
    <w:basedOn w:val="DefaultParagraphFont"/>
    <w:rsid w:val="00875F4A"/>
  </w:style>
  <w:style w:type="paragraph" w:styleId="BalloonText">
    <w:name w:val="Balloon Text"/>
    <w:basedOn w:val="Normal"/>
    <w:link w:val="BalloonTextChar"/>
    <w:uiPriority w:val="99"/>
    <w:semiHidden/>
    <w:unhideWhenUsed/>
    <w:rsid w:val="00351061"/>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51061"/>
    <w:rPr>
      <w:rFonts w:asciiTheme="majorHAnsi" w:eastAsiaTheme="majorEastAsia" w:hAnsiTheme="majorHAnsi" w:cstheme="majorBidi"/>
      <w:kern w:val="2"/>
      <w:sz w:val="18"/>
      <w:szCs w:val="18"/>
    </w:rPr>
  </w:style>
  <w:style w:type="table" w:styleId="TableGrid">
    <w:name w:val="Table Grid"/>
    <w:basedOn w:val="TableNormal"/>
    <w:uiPriority w:val="59"/>
    <w:rsid w:val="0009341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6897"/>
    <w:pPr>
      <w:widowControl/>
      <w:spacing w:before="100" w:beforeAutospacing="1" w:after="100" w:afterAutospacing="1" w:line="240" w:lineRule="auto"/>
    </w:pPr>
    <w:rPr>
      <w:rFonts w:ascii="新細明體" w:hAnsi="新細明體" w:cs="新細明體"/>
      <w:kern w:val="0"/>
      <w:szCs w:val="24"/>
    </w:rPr>
  </w:style>
  <w:style w:type="character" w:styleId="Strong">
    <w:name w:val="Strong"/>
    <w:basedOn w:val="DefaultParagraphFont"/>
    <w:uiPriority w:val="22"/>
    <w:qFormat/>
    <w:rsid w:val="00E46897"/>
    <w:rPr>
      <w:b/>
      <w:bCs/>
    </w:rPr>
  </w:style>
  <w:style w:type="character" w:styleId="CommentReference">
    <w:name w:val="annotation reference"/>
    <w:basedOn w:val="DefaultParagraphFont"/>
    <w:uiPriority w:val="99"/>
    <w:semiHidden/>
    <w:unhideWhenUsed/>
    <w:rsid w:val="00D2795C"/>
    <w:rPr>
      <w:sz w:val="18"/>
      <w:szCs w:val="18"/>
    </w:rPr>
  </w:style>
  <w:style w:type="paragraph" w:styleId="CommentText">
    <w:name w:val="annotation text"/>
    <w:basedOn w:val="Normal"/>
    <w:link w:val="CommentTextChar"/>
    <w:uiPriority w:val="99"/>
    <w:semiHidden/>
    <w:unhideWhenUsed/>
    <w:rsid w:val="00D2795C"/>
  </w:style>
  <w:style w:type="character" w:customStyle="1" w:styleId="CommentTextChar">
    <w:name w:val="Comment Text Char"/>
    <w:basedOn w:val="DefaultParagraphFont"/>
    <w:link w:val="CommentText"/>
    <w:uiPriority w:val="99"/>
    <w:semiHidden/>
    <w:rsid w:val="00D2795C"/>
    <w:rPr>
      <w:kern w:val="2"/>
      <w:sz w:val="24"/>
      <w:szCs w:val="22"/>
    </w:rPr>
  </w:style>
  <w:style w:type="paragraph" w:styleId="CommentSubject">
    <w:name w:val="annotation subject"/>
    <w:basedOn w:val="CommentText"/>
    <w:next w:val="CommentText"/>
    <w:link w:val="CommentSubjectChar"/>
    <w:uiPriority w:val="99"/>
    <w:semiHidden/>
    <w:unhideWhenUsed/>
    <w:rsid w:val="00D2795C"/>
    <w:rPr>
      <w:b/>
      <w:bCs/>
    </w:rPr>
  </w:style>
  <w:style w:type="character" w:customStyle="1" w:styleId="CommentSubjectChar">
    <w:name w:val="Comment Subject Char"/>
    <w:basedOn w:val="CommentTextChar"/>
    <w:link w:val="CommentSubject"/>
    <w:uiPriority w:val="99"/>
    <w:semiHidden/>
    <w:rsid w:val="00D2795C"/>
    <w:rPr>
      <w:b/>
      <w:bCs/>
      <w:kern w:val="2"/>
      <w:sz w:val="24"/>
      <w:szCs w:val="22"/>
    </w:rPr>
  </w:style>
  <w:style w:type="table" w:customStyle="1" w:styleId="TableGrid0">
    <w:name w:val="TableGrid"/>
    <w:rsid w:val="005E4830"/>
    <w:rPr>
      <w:rFonts w:asciiTheme="minorHAnsi" w:eastAsiaTheme="minorEastAsia" w:hAnsiTheme="minorHAnsi" w:cstheme="minorBidi"/>
      <w:sz w:val="22"/>
      <w:szCs w:val="22"/>
      <w:lang w:val="en-AU"/>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444008"/>
    <w:rPr>
      <w:rFonts w:asciiTheme="majorHAnsi" w:eastAsiaTheme="majorEastAsia" w:hAnsiTheme="majorHAnsi" w:cstheme="majorBidi"/>
      <w:color w:val="365F91" w:themeColor="accent1" w:themeShade="BF"/>
      <w:kern w:val="2"/>
      <w:sz w:val="32"/>
      <w:szCs w:val="32"/>
    </w:rPr>
  </w:style>
  <w:style w:type="paragraph" w:styleId="TOCHeading">
    <w:name w:val="TOC Heading"/>
    <w:basedOn w:val="Heading1"/>
    <w:next w:val="Normal"/>
    <w:uiPriority w:val="39"/>
    <w:unhideWhenUsed/>
    <w:qFormat/>
    <w:rsid w:val="00E25E8A"/>
    <w:pPr>
      <w:widowControl/>
      <w:spacing w:line="259" w:lineRule="auto"/>
      <w:outlineLvl w:val="9"/>
    </w:pPr>
    <w:rPr>
      <w:kern w:val="0"/>
      <w:lang w:eastAsia="en-US"/>
    </w:rPr>
  </w:style>
  <w:style w:type="paragraph" w:styleId="TOC1">
    <w:name w:val="toc 1"/>
    <w:basedOn w:val="NoSpacing"/>
    <w:next w:val="NoSpacing"/>
    <w:autoRedefine/>
    <w:uiPriority w:val="39"/>
    <w:unhideWhenUsed/>
    <w:rsid w:val="00E25E8A"/>
    <w:pPr>
      <w:spacing w:after="100"/>
    </w:pPr>
    <w:rPr>
      <w:b/>
      <w:sz w:val="20"/>
    </w:rPr>
  </w:style>
  <w:style w:type="paragraph" w:styleId="TOC2">
    <w:name w:val="toc 2"/>
    <w:basedOn w:val="NoSpacing"/>
    <w:next w:val="NoSpacing"/>
    <w:autoRedefine/>
    <w:uiPriority w:val="39"/>
    <w:unhideWhenUsed/>
    <w:rsid w:val="00E25E8A"/>
    <w:pPr>
      <w:ind w:left="245"/>
    </w:pPr>
    <w:rPr>
      <w:sz w:val="16"/>
    </w:rPr>
  </w:style>
  <w:style w:type="character" w:styleId="Hyperlink">
    <w:name w:val="Hyperlink"/>
    <w:basedOn w:val="DefaultParagraphFont"/>
    <w:uiPriority w:val="99"/>
    <w:unhideWhenUsed/>
    <w:rsid w:val="00E25E8A"/>
    <w:rPr>
      <w:color w:val="0000FF" w:themeColor="hyperlink"/>
      <w:u w:val="single"/>
    </w:rPr>
  </w:style>
  <w:style w:type="paragraph" w:styleId="NoSpacing">
    <w:name w:val="No Spacing"/>
    <w:uiPriority w:val="1"/>
    <w:qFormat/>
    <w:rsid w:val="00E25E8A"/>
    <w:pPr>
      <w:widowControl w:val="0"/>
    </w:pPr>
    <w:rPr>
      <w:kern w:val="2"/>
      <w:sz w:val="24"/>
      <w:szCs w:val="22"/>
    </w:rPr>
  </w:style>
  <w:style w:type="character" w:styleId="FollowedHyperlink">
    <w:name w:val="FollowedHyperlink"/>
    <w:basedOn w:val="DefaultParagraphFont"/>
    <w:uiPriority w:val="99"/>
    <w:semiHidden/>
    <w:unhideWhenUsed/>
    <w:rsid w:val="00784507"/>
    <w:rPr>
      <w:color w:val="800080" w:themeColor="followedHyperlink"/>
      <w:u w:val="single"/>
    </w:rPr>
  </w:style>
  <w:style w:type="paragraph" w:styleId="TOC3">
    <w:name w:val="toc 3"/>
    <w:basedOn w:val="Normal"/>
    <w:next w:val="Normal"/>
    <w:autoRedefine/>
    <w:uiPriority w:val="39"/>
    <w:unhideWhenUsed/>
    <w:rsid w:val="00784507"/>
    <w:pPr>
      <w:widowControl/>
      <w:spacing w:after="100" w:line="259" w:lineRule="auto"/>
      <w:ind w:left="440"/>
    </w:pPr>
    <w:rPr>
      <w:rFonts w:asciiTheme="minorHAnsi" w:eastAsiaTheme="minorEastAsia" w:hAnsiTheme="minorHAnsi"/>
      <w:kern w:val="0"/>
      <w:sz w:val="22"/>
      <w:lang w:eastAsia="en-US"/>
    </w:rPr>
  </w:style>
  <w:style w:type="character" w:customStyle="1" w:styleId="Heading3Char">
    <w:name w:val="Heading 3 Char"/>
    <w:basedOn w:val="DefaultParagraphFont"/>
    <w:link w:val="Heading3"/>
    <w:uiPriority w:val="9"/>
    <w:semiHidden/>
    <w:rsid w:val="00B307C4"/>
    <w:rPr>
      <w:rFonts w:asciiTheme="majorHAnsi" w:eastAsiaTheme="majorEastAsia" w:hAnsiTheme="majorHAnsi" w:cstheme="majorBidi"/>
      <w:color w:val="243F60" w:themeColor="accent1" w:themeShade="7F"/>
      <w:kern w:val="2"/>
      <w:sz w:val="24"/>
      <w:szCs w:val="24"/>
    </w:rPr>
  </w:style>
  <w:style w:type="paragraph" w:styleId="Revision">
    <w:name w:val="Revision"/>
    <w:hidden/>
    <w:uiPriority w:val="99"/>
    <w:semiHidden/>
    <w:rsid w:val="00D97F90"/>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1997">
      <w:bodyDiv w:val="1"/>
      <w:marLeft w:val="0"/>
      <w:marRight w:val="0"/>
      <w:marTop w:val="0"/>
      <w:marBottom w:val="0"/>
      <w:divBdr>
        <w:top w:val="none" w:sz="0" w:space="0" w:color="auto"/>
        <w:left w:val="none" w:sz="0" w:space="0" w:color="auto"/>
        <w:bottom w:val="none" w:sz="0" w:space="0" w:color="auto"/>
        <w:right w:val="none" w:sz="0" w:space="0" w:color="auto"/>
      </w:divBdr>
    </w:div>
    <w:div w:id="675230980">
      <w:bodyDiv w:val="1"/>
      <w:marLeft w:val="0"/>
      <w:marRight w:val="0"/>
      <w:marTop w:val="0"/>
      <w:marBottom w:val="0"/>
      <w:divBdr>
        <w:top w:val="none" w:sz="0" w:space="0" w:color="auto"/>
        <w:left w:val="none" w:sz="0" w:space="0" w:color="auto"/>
        <w:bottom w:val="none" w:sz="0" w:space="0" w:color="auto"/>
        <w:right w:val="none" w:sz="0" w:space="0" w:color="auto"/>
      </w:divBdr>
    </w:div>
    <w:div w:id="694817197">
      <w:bodyDiv w:val="1"/>
      <w:marLeft w:val="0"/>
      <w:marRight w:val="0"/>
      <w:marTop w:val="0"/>
      <w:marBottom w:val="0"/>
      <w:divBdr>
        <w:top w:val="none" w:sz="0" w:space="0" w:color="auto"/>
        <w:left w:val="none" w:sz="0" w:space="0" w:color="auto"/>
        <w:bottom w:val="none" w:sz="0" w:space="0" w:color="auto"/>
        <w:right w:val="none" w:sz="0" w:space="0" w:color="auto"/>
      </w:divBdr>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69100995">
      <w:bodyDiv w:val="1"/>
      <w:marLeft w:val="0"/>
      <w:marRight w:val="0"/>
      <w:marTop w:val="0"/>
      <w:marBottom w:val="0"/>
      <w:divBdr>
        <w:top w:val="none" w:sz="0" w:space="0" w:color="auto"/>
        <w:left w:val="none" w:sz="0" w:space="0" w:color="auto"/>
        <w:bottom w:val="none" w:sz="0" w:space="0" w:color="auto"/>
        <w:right w:val="none" w:sz="0" w:space="0" w:color="auto"/>
      </w:divBdr>
    </w:div>
    <w:div w:id="1166942448">
      <w:bodyDiv w:val="1"/>
      <w:marLeft w:val="0"/>
      <w:marRight w:val="0"/>
      <w:marTop w:val="0"/>
      <w:marBottom w:val="0"/>
      <w:divBdr>
        <w:top w:val="none" w:sz="0" w:space="0" w:color="auto"/>
        <w:left w:val="none" w:sz="0" w:space="0" w:color="auto"/>
        <w:bottom w:val="none" w:sz="0" w:space="0" w:color="auto"/>
        <w:right w:val="none" w:sz="0" w:space="0" w:color="auto"/>
      </w:divBdr>
    </w:div>
    <w:div w:id="1283150252">
      <w:bodyDiv w:val="1"/>
      <w:marLeft w:val="0"/>
      <w:marRight w:val="0"/>
      <w:marTop w:val="0"/>
      <w:marBottom w:val="0"/>
      <w:divBdr>
        <w:top w:val="none" w:sz="0" w:space="0" w:color="auto"/>
        <w:left w:val="none" w:sz="0" w:space="0" w:color="auto"/>
        <w:bottom w:val="none" w:sz="0" w:space="0" w:color="auto"/>
        <w:right w:val="none" w:sz="0" w:space="0" w:color="auto"/>
      </w:divBdr>
    </w:div>
    <w:div w:id="212746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b.be/en/financial-oversight/combating-money-laundering-and-financing-terrorism/information-a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bb.be/en/financial-oversight/combating-money-laundering-and-financing-terrorism/information-and"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5B48A-60F5-4BA6-9BEF-B51ECAD8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10891</Words>
  <Characters>60679</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71428</CharactersWithSpaces>
  <SharedDoc>false</SharedDoc>
  <HLinks>
    <vt:vector size="6" baseType="variant">
      <vt:variant>
        <vt:i4>1572954</vt:i4>
      </vt:variant>
      <vt:variant>
        <vt:i4>0</vt:i4>
      </vt:variant>
      <vt:variant>
        <vt:i4>0</vt:i4>
      </vt:variant>
      <vt:variant>
        <vt:i4>5</vt:i4>
      </vt:variant>
      <vt:variant>
        <vt:lpwstr>http://law.fsc.gov.tw/law/EngLawContent.aspx?Type=E&amp;id=1665&amp;KeyWord=%e9%8a%80%e8%a1%8c%e6%a5%ad%e9%98%b2%e5%88%b6%e6%b4%97%e9%8c%a2%e5%8f%8a%e6%89%93%e6%93%8a%e8%b3%87%e5%8a%a9%e6%81%90%e6%80%96%e4%b8%bb%e7%be%a9%e6%b3%a8%e6%84%8f%e4%ba%8b%e9%a0%85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dc:creator>
  <cp:lastModifiedBy>Yen-Hung Tso</cp:lastModifiedBy>
  <cp:revision>21</cp:revision>
  <cp:lastPrinted>2024-06-20T08:09:00Z</cp:lastPrinted>
  <dcterms:created xsi:type="dcterms:W3CDTF">2024-04-02T15:45:00Z</dcterms:created>
  <dcterms:modified xsi:type="dcterms:W3CDTF">2025-04-08T11:53:00Z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e06bdc86910974292749b0cd2de65dede712ea5bc50f430423384730569b9ace</vt:lpwstr>
  </property>
</Properties>
</file>